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6E" w:rsidRPr="00CD11EB" w:rsidRDefault="002F436E" w:rsidP="00247AF6">
      <w:pPr>
        <w:spacing w:after="360"/>
        <w:rPr>
          <w:b/>
          <w:sz w:val="36"/>
          <w:szCs w:val="36"/>
        </w:rPr>
      </w:pPr>
      <w:bookmarkStart w:id="0" w:name="_GoBack"/>
      <w:bookmarkEnd w:id="0"/>
      <w:r w:rsidRPr="008A5A77">
        <w:rPr>
          <w:b/>
          <w:sz w:val="44"/>
          <w:szCs w:val="44"/>
        </w:rPr>
        <w:t>Quick Tips</w:t>
      </w:r>
      <w:r w:rsidRPr="008A5A77">
        <w:rPr>
          <w:b/>
        </w:rPr>
        <w:t xml:space="preserve"> </w:t>
      </w:r>
      <w:r w:rsidRPr="008A5A77">
        <w:rPr>
          <w:b/>
          <w:sz w:val="32"/>
          <w:szCs w:val="32"/>
        </w:rPr>
        <w:t>for</w:t>
      </w:r>
      <w:r w:rsidRPr="008A5A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using the </w:t>
      </w:r>
      <w:r w:rsidR="00247AF6">
        <w:rPr>
          <w:b/>
          <w:sz w:val="36"/>
          <w:szCs w:val="36"/>
        </w:rPr>
        <w:t xml:space="preserve">Policy &amp; </w:t>
      </w:r>
      <w:r w:rsidRPr="00CD11EB">
        <w:rPr>
          <w:b/>
          <w:sz w:val="36"/>
          <w:szCs w:val="36"/>
        </w:rPr>
        <w:t>Program Impact Estimator</w:t>
      </w:r>
      <w:r w:rsidR="00CD11EB">
        <w:rPr>
          <w:b/>
          <w:sz w:val="36"/>
          <w:szCs w:val="36"/>
        </w:rPr>
        <w:t xml:space="preserve">          </w:t>
      </w:r>
      <w:r w:rsidRPr="00247AF6">
        <w:rPr>
          <w:b/>
          <w:color w:val="00C400"/>
          <w:sz w:val="40"/>
          <w:szCs w:val="40"/>
        </w:rPr>
        <w:t>What’s Addressed and What’s Not Addressed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75"/>
      </w:tblGrid>
      <w:tr w:rsidR="002F436E" w:rsidTr="007267F9">
        <w:trPr>
          <w:trHeight w:val="717"/>
          <w:tblHeader/>
        </w:trPr>
        <w:tc>
          <w:tcPr>
            <w:tcW w:w="465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436E" w:rsidRPr="002F436E" w:rsidRDefault="002F436E" w:rsidP="00CD11EB">
            <w:pPr>
              <w:rPr>
                <w:b/>
                <w:sz w:val="28"/>
                <w:szCs w:val="28"/>
              </w:rPr>
            </w:pPr>
            <w:r w:rsidRPr="002F436E">
              <w:rPr>
                <w:b/>
                <w:sz w:val="28"/>
                <w:szCs w:val="28"/>
              </w:rPr>
              <w:t xml:space="preserve">The </w:t>
            </w:r>
            <w:r w:rsidR="00CD11EB">
              <w:rPr>
                <w:b/>
                <w:sz w:val="28"/>
                <w:szCs w:val="28"/>
              </w:rPr>
              <w:t>Calculator</w:t>
            </w:r>
            <w:r w:rsidR="00C37F9F">
              <w:rPr>
                <w:b/>
                <w:sz w:val="28"/>
                <w:szCs w:val="28"/>
              </w:rPr>
              <w:t xml:space="preserve"> </w:t>
            </w:r>
            <w:r w:rsidRPr="002F436E">
              <w:rPr>
                <w:b/>
                <w:sz w:val="28"/>
                <w:szCs w:val="28"/>
              </w:rPr>
              <w:t>Addresses…</w:t>
            </w:r>
          </w:p>
        </w:tc>
        <w:tc>
          <w:tcPr>
            <w:tcW w:w="46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2F436E" w:rsidRPr="002F436E" w:rsidRDefault="002F436E" w:rsidP="002F436E">
            <w:pPr>
              <w:rPr>
                <w:b/>
                <w:sz w:val="28"/>
                <w:szCs w:val="28"/>
              </w:rPr>
            </w:pPr>
            <w:r w:rsidRPr="002F436E">
              <w:rPr>
                <w:b/>
                <w:sz w:val="28"/>
                <w:szCs w:val="28"/>
              </w:rPr>
              <w:t>But Does Not Address…</w:t>
            </w:r>
          </w:p>
        </w:tc>
      </w:tr>
      <w:tr w:rsidR="003D66B6" w:rsidTr="00024233">
        <w:trPr>
          <w:trHeight w:val="420"/>
        </w:trPr>
        <w:tc>
          <w:tcPr>
            <w:tcW w:w="4655" w:type="dxa"/>
            <w:tcBorders>
              <w:bottom w:val="nil"/>
              <w:right w:val="single" w:sz="4" w:space="0" w:color="auto"/>
            </w:tcBorders>
          </w:tcPr>
          <w:p w:rsidR="003D66B6" w:rsidRDefault="003D66B6" w:rsidP="00EE6474">
            <w:pPr>
              <w:rPr>
                <w:sz w:val="28"/>
                <w:szCs w:val="28"/>
              </w:rPr>
            </w:pPr>
            <w:r w:rsidRPr="003D66B6">
              <w:rPr>
                <w:sz w:val="28"/>
                <w:szCs w:val="28"/>
              </w:rPr>
              <w:t xml:space="preserve">What </w:t>
            </w:r>
            <w:r w:rsidR="005F1E4F">
              <w:rPr>
                <w:sz w:val="28"/>
                <w:szCs w:val="28"/>
              </w:rPr>
              <w:t xml:space="preserve">EPA’s </w:t>
            </w:r>
            <w:r w:rsidR="00EE6474">
              <w:rPr>
                <w:sz w:val="28"/>
                <w:szCs w:val="28"/>
              </w:rPr>
              <w:t xml:space="preserve">Waste Reduction Model (WARM) </w:t>
            </w:r>
            <w:r w:rsidRPr="003D66B6">
              <w:rPr>
                <w:sz w:val="28"/>
                <w:szCs w:val="28"/>
              </w:rPr>
              <w:t>Addresses</w:t>
            </w:r>
          </w:p>
          <w:p w:rsidR="00EE6474" w:rsidRPr="003D66B6" w:rsidRDefault="00EE6474" w:rsidP="00EE647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:rsidR="003D66B6" w:rsidRPr="002F436E" w:rsidRDefault="003D66B6" w:rsidP="002F436E">
            <w:pPr>
              <w:rPr>
                <w:sz w:val="24"/>
                <w:szCs w:val="24"/>
              </w:rPr>
            </w:pPr>
          </w:p>
        </w:tc>
      </w:tr>
      <w:tr w:rsidR="002F436E" w:rsidTr="00024233">
        <w:trPr>
          <w:trHeight w:val="1827"/>
        </w:trPr>
        <w:tc>
          <w:tcPr>
            <w:tcW w:w="4655" w:type="dxa"/>
            <w:tcBorders>
              <w:top w:val="nil"/>
              <w:bottom w:val="nil"/>
              <w:right w:val="single" w:sz="4" w:space="0" w:color="auto"/>
            </w:tcBorders>
          </w:tcPr>
          <w:p w:rsidR="002F436E" w:rsidRPr="002F436E" w:rsidRDefault="003D66B6" w:rsidP="00EC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F436E" w:rsidRPr="002F436E">
              <w:rPr>
                <w:sz w:val="24"/>
                <w:szCs w:val="24"/>
              </w:rPr>
              <w:t>GHG</w:t>
            </w:r>
            <w:r w:rsidR="00EC3CA9">
              <w:rPr>
                <w:sz w:val="24"/>
                <w:szCs w:val="24"/>
              </w:rPr>
              <w:t xml:space="preserve"> projections for </w:t>
            </w:r>
            <w:r w:rsidR="002F436E" w:rsidRPr="002F436E">
              <w:rPr>
                <w:sz w:val="24"/>
                <w:szCs w:val="24"/>
              </w:rPr>
              <w:t>source reduction, recycling, and/or composting</w:t>
            </w:r>
            <w:r w:rsidR="002F436E">
              <w:rPr>
                <w:sz w:val="24"/>
                <w:szCs w:val="24"/>
              </w:rPr>
              <w:t xml:space="preserve"> a given amount of </w:t>
            </w:r>
            <w:r w:rsidR="009A749B">
              <w:rPr>
                <w:sz w:val="24"/>
                <w:szCs w:val="24"/>
              </w:rPr>
              <w:t xml:space="preserve">material </w:t>
            </w:r>
            <w:r w:rsidR="002F4D60">
              <w:rPr>
                <w:sz w:val="24"/>
                <w:szCs w:val="24"/>
              </w:rPr>
              <w:t>compared to the GHG emissions</w:t>
            </w:r>
            <w:r w:rsidR="00DF5F11">
              <w:rPr>
                <w:sz w:val="24"/>
                <w:szCs w:val="24"/>
              </w:rPr>
              <w:t xml:space="preserve"> that would be generated by</w:t>
            </w:r>
            <w:r w:rsidR="002F436E">
              <w:rPr>
                <w:sz w:val="24"/>
                <w:szCs w:val="24"/>
              </w:rPr>
              <w:t xml:space="preserve"> landfilling or combusting that</w:t>
            </w:r>
            <w:r w:rsidR="009A749B">
              <w:rPr>
                <w:sz w:val="24"/>
                <w:szCs w:val="24"/>
              </w:rPr>
              <w:t xml:space="preserve"> </w:t>
            </w:r>
            <w:r w:rsidR="00DF5F11">
              <w:rPr>
                <w:sz w:val="24"/>
                <w:szCs w:val="24"/>
              </w:rPr>
              <w:t xml:space="preserve">same </w:t>
            </w:r>
            <w:r w:rsidR="002F4D60">
              <w:rPr>
                <w:sz w:val="24"/>
                <w:szCs w:val="24"/>
              </w:rPr>
              <w:t xml:space="preserve">amount of </w:t>
            </w:r>
            <w:r w:rsidR="009A749B">
              <w:rPr>
                <w:sz w:val="24"/>
                <w:szCs w:val="24"/>
              </w:rPr>
              <w:t>material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:rsidR="002F436E" w:rsidRPr="002F436E" w:rsidRDefault="002F436E" w:rsidP="002F436E">
            <w:pPr>
              <w:rPr>
                <w:sz w:val="24"/>
                <w:szCs w:val="24"/>
              </w:rPr>
            </w:pPr>
            <w:r w:rsidRPr="002F436E">
              <w:rPr>
                <w:sz w:val="24"/>
                <w:szCs w:val="24"/>
              </w:rPr>
              <w:t>The amount of GHGs generated by solid waste</w:t>
            </w:r>
            <w:r w:rsidR="002F4D60">
              <w:rPr>
                <w:sz w:val="24"/>
                <w:szCs w:val="24"/>
              </w:rPr>
              <w:t xml:space="preserve"> </w:t>
            </w:r>
            <w:r w:rsidRPr="002F436E">
              <w:rPr>
                <w:sz w:val="24"/>
                <w:szCs w:val="24"/>
              </w:rPr>
              <w:t>landfill</w:t>
            </w:r>
            <w:r>
              <w:rPr>
                <w:sz w:val="24"/>
                <w:szCs w:val="24"/>
              </w:rPr>
              <w:t>ed</w:t>
            </w:r>
            <w:r w:rsidRPr="002F436E">
              <w:rPr>
                <w:sz w:val="24"/>
                <w:szCs w:val="24"/>
              </w:rPr>
              <w:t xml:space="preserve"> or combust</w:t>
            </w:r>
            <w:r>
              <w:rPr>
                <w:sz w:val="24"/>
                <w:szCs w:val="24"/>
              </w:rPr>
              <w:t>ed</w:t>
            </w:r>
            <w:r w:rsidRPr="002F436E">
              <w:rPr>
                <w:sz w:val="24"/>
                <w:szCs w:val="24"/>
              </w:rPr>
              <w:t xml:space="preserve"> in a community</w:t>
            </w:r>
            <w:r w:rsidR="002F4D60">
              <w:rPr>
                <w:sz w:val="24"/>
                <w:szCs w:val="24"/>
              </w:rPr>
              <w:t xml:space="preserve"> (e.g., in a baseline</w:t>
            </w:r>
            <w:r>
              <w:rPr>
                <w:sz w:val="24"/>
                <w:szCs w:val="24"/>
              </w:rPr>
              <w:t xml:space="preserve"> year)</w:t>
            </w:r>
            <w:r w:rsidR="009A749B">
              <w:rPr>
                <w:sz w:val="24"/>
                <w:szCs w:val="24"/>
              </w:rPr>
              <w:t>.  (It is recommended to use a GHG inventory tool to estimate GHGs generated by solid waste.)</w:t>
            </w:r>
          </w:p>
        </w:tc>
      </w:tr>
      <w:tr w:rsidR="00FC5B14" w:rsidTr="00024233">
        <w:trPr>
          <w:trHeight w:val="3060"/>
        </w:trPr>
        <w:tc>
          <w:tcPr>
            <w:tcW w:w="4655" w:type="dxa"/>
            <w:tcBorders>
              <w:top w:val="nil"/>
              <w:bottom w:val="nil"/>
              <w:right w:val="single" w:sz="4" w:space="0" w:color="auto"/>
            </w:tcBorders>
          </w:tcPr>
          <w:p w:rsidR="00FC5B14" w:rsidRDefault="003D66B6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31EF8">
              <w:rPr>
                <w:sz w:val="24"/>
                <w:szCs w:val="24"/>
              </w:rPr>
              <w:t>Aspects</w:t>
            </w:r>
            <w:r w:rsidR="00EF6BA0">
              <w:rPr>
                <w:sz w:val="24"/>
                <w:szCs w:val="24"/>
              </w:rPr>
              <w:t xml:space="preserve"> addressed</w:t>
            </w:r>
            <w:r w:rsidR="00FC5B14">
              <w:rPr>
                <w:sz w:val="24"/>
                <w:szCs w:val="24"/>
              </w:rPr>
              <w:t xml:space="preserve"> in WARM’s methodology for individual materials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:rsidR="00FC5B14" w:rsidRDefault="00B31EF8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Aspects </w:t>
            </w:r>
            <w:r w:rsidR="00EF6BA0">
              <w:rPr>
                <w:sz w:val="24"/>
                <w:szCs w:val="24"/>
              </w:rPr>
              <w:t>not addressed</w:t>
            </w:r>
            <w:r w:rsidR="00FC5B14">
              <w:rPr>
                <w:sz w:val="24"/>
                <w:szCs w:val="24"/>
              </w:rPr>
              <w:t xml:space="preserve"> in WARM’s methodology, e.g., due to data limitations, which may have an effect on GHG emissions </w:t>
            </w:r>
            <w:r>
              <w:rPr>
                <w:sz w:val="24"/>
                <w:szCs w:val="24"/>
              </w:rPr>
              <w:t xml:space="preserve">and are </w:t>
            </w:r>
            <w:r w:rsidR="00FC5B14">
              <w:rPr>
                <w:sz w:val="24"/>
                <w:szCs w:val="24"/>
              </w:rPr>
              <w:t>not currently modelled in WARM.  Information on WARM methodology for individual materials can be found in EPA’s documentation for WARM:</w:t>
            </w:r>
          </w:p>
          <w:p w:rsidR="00FC5B14" w:rsidRDefault="007B520E" w:rsidP="00FC5B14">
            <w:pPr>
              <w:rPr>
                <w:sz w:val="24"/>
                <w:szCs w:val="24"/>
              </w:rPr>
            </w:pPr>
            <w:hyperlink r:id="rId8" w:history="1">
              <w:r w:rsidR="00FC5B14" w:rsidRPr="00F035B8">
                <w:rPr>
                  <w:rStyle w:val="Hyperlink"/>
                  <w:sz w:val="24"/>
                  <w:szCs w:val="24"/>
                </w:rPr>
                <w:t>https://www.epa.gov/warm/documentation-waste-reduction-model-warm</w:t>
              </w:r>
            </w:hyperlink>
          </w:p>
        </w:tc>
      </w:tr>
      <w:tr w:rsidR="00FC5B14" w:rsidTr="00024233">
        <w:trPr>
          <w:trHeight w:val="773"/>
        </w:trPr>
        <w:tc>
          <w:tcPr>
            <w:tcW w:w="4655" w:type="dxa"/>
            <w:tcBorders>
              <w:top w:val="nil"/>
              <w:right w:val="single" w:sz="4" w:space="0" w:color="auto"/>
            </w:tcBorders>
          </w:tcPr>
          <w:p w:rsidR="00FC5B14" w:rsidRDefault="003D66B6" w:rsidP="00B3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5B14">
              <w:rPr>
                <w:sz w:val="24"/>
                <w:szCs w:val="24"/>
              </w:rPr>
              <w:t>GHG reduction estimates for material</w:t>
            </w:r>
            <w:r w:rsidR="00B31EF8">
              <w:rPr>
                <w:sz w:val="24"/>
                <w:szCs w:val="24"/>
              </w:rPr>
              <w:t>s</w:t>
            </w:r>
            <w:r w:rsidR="00FC5B14">
              <w:rPr>
                <w:sz w:val="24"/>
                <w:szCs w:val="24"/>
              </w:rPr>
              <w:t xml:space="preserve"> for which</w:t>
            </w:r>
            <w:r w:rsidR="00B31EF8">
              <w:rPr>
                <w:sz w:val="24"/>
                <w:szCs w:val="24"/>
              </w:rPr>
              <w:t xml:space="preserve"> </w:t>
            </w:r>
            <w:r w:rsidR="00FC5B14">
              <w:rPr>
                <w:sz w:val="24"/>
                <w:szCs w:val="24"/>
              </w:rPr>
              <w:t>a WARM emissions factor</w:t>
            </w:r>
            <w:r w:rsidR="00B31EF8">
              <w:rPr>
                <w:sz w:val="24"/>
                <w:szCs w:val="24"/>
              </w:rPr>
              <w:t xml:space="preserve"> exists</w:t>
            </w:r>
            <w:r w:rsidR="002B123B">
              <w:rPr>
                <w:sz w:val="24"/>
                <w:szCs w:val="24"/>
              </w:rPr>
              <w:t xml:space="preserve"> that is included in the waste characterization table(s)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</w:tcBorders>
          </w:tcPr>
          <w:p w:rsidR="00FC5B14" w:rsidRDefault="00FC5B14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GHG reduction</w:t>
            </w:r>
            <w:r w:rsidR="00B31EF8">
              <w:rPr>
                <w:sz w:val="24"/>
                <w:szCs w:val="24"/>
              </w:rPr>
              <w:t xml:space="preserve"> estimates for</w:t>
            </w:r>
            <w:r>
              <w:rPr>
                <w:sz w:val="24"/>
                <w:szCs w:val="24"/>
              </w:rPr>
              <w:t xml:space="preserve"> material</w:t>
            </w:r>
            <w:r w:rsidR="00B31E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2B123B">
              <w:rPr>
                <w:sz w:val="24"/>
                <w:szCs w:val="24"/>
              </w:rPr>
              <w:t xml:space="preserve">not specifically identified in the waste characterization table(s).  </w:t>
            </w:r>
            <w:r>
              <w:rPr>
                <w:sz w:val="24"/>
                <w:szCs w:val="24"/>
              </w:rPr>
              <w:t>(</w:t>
            </w:r>
            <w:r w:rsidR="002B123B">
              <w:rPr>
                <w:sz w:val="24"/>
                <w:szCs w:val="24"/>
              </w:rPr>
              <w:t>Note:  tons associated with materials that are not identified in the table(s) are automatically placed</w:t>
            </w:r>
            <w:r>
              <w:rPr>
                <w:sz w:val="24"/>
                <w:szCs w:val="24"/>
              </w:rPr>
              <w:t xml:space="preserve"> in the “Other/Undifferentiated” category).</w:t>
            </w:r>
            <w:r w:rsidR="002B123B">
              <w:rPr>
                <w:sz w:val="24"/>
                <w:szCs w:val="24"/>
              </w:rPr>
              <w:t xml:space="preserve">  GHG reductions are not calculated for “Other/Undifferentiated” tonnage.</w:t>
            </w:r>
            <w:r>
              <w:rPr>
                <w:sz w:val="24"/>
                <w:szCs w:val="24"/>
              </w:rPr>
              <w:t xml:space="preserve">  </w:t>
            </w:r>
          </w:p>
          <w:p w:rsidR="00FC5B14" w:rsidRDefault="00FC5B14" w:rsidP="00FC5B14">
            <w:pPr>
              <w:rPr>
                <w:sz w:val="24"/>
                <w:szCs w:val="24"/>
              </w:rPr>
            </w:pPr>
          </w:p>
          <w:p w:rsidR="00C37F9F" w:rsidRDefault="00FC5B14" w:rsidP="00CD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while there are WARM emissions factors for food waste, yard trimmings, and wood, there is no WARM emissions factor for compostable, soiled paper.</w:t>
            </w:r>
            <w:r w:rsidR="0044220E">
              <w:rPr>
                <w:sz w:val="24"/>
                <w:szCs w:val="24"/>
              </w:rPr>
              <w:t xml:space="preserve">  Thus, for a curbside collection program that accepts both food waste and compostable, soiled paper,</w:t>
            </w:r>
            <w:r w:rsidR="00B31EF8">
              <w:rPr>
                <w:sz w:val="24"/>
                <w:szCs w:val="24"/>
              </w:rPr>
              <w:t xml:space="preserve"> the </w:t>
            </w:r>
            <w:r w:rsidR="00CD11EB">
              <w:rPr>
                <w:sz w:val="24"/>
                <w:szCs w:val="24"/>
              </w:rPr>
              <w:t>calculator</w:t>
            </w:r>
            <w:r w:rsidR="00B31EF8">
              <w:rPr>
                <w:sz w:val="24"/>
                <w:szCs w:val="24"/>
              </w:rPr>
              <w:t xml:space="preserve"> </w:t>
            </w:r>
            <w:r w:rsidR="002B123B">
              <w:rPr>
                <w:sz w:val="24"/>
                <w:szCs w:val="24"/>
              </w:rPr>
              <w:t>will</w:t>
            </w:r>
            <w:r w:rsidR="00B31EF8">
              <w:rPr>
                <w:sz w:val="24"/>
                <w:szCs w:val="24"/>
              </w:rPr>
              <w:t xml:space="preserve"> only provide an estimate for GHG reductions from composting food waste</w:t>
            </w:r>
            <w:r w:rsidR="00573C52">
              <w:rPr>
                <w:sz w:val="24"/>
                <w:szCs w:val="24"/>
              </w:rPr>
              <w:t>.</w:t>
            </w:r>
          </w:p>
        </w:tc>
      </w:tr>
      <w:tr w:rsidR="00FC5B14" w:rsidTr="00024233">
        <w:trPr>
          <w:trHeight w:val="1680"/>
        </w:trPr>
        <w:tc>
          <w:tcPr>
            <w:tcW w:w="4655" w:type="dxa"/>
            <w:tcBorders>
              <w:right w:val="single" w:sz="4" w:space="0" w:color="auto"/>
            </w:tcBorders>
          </w:tcPr>
          <w:p w:rsidR="00FC5B14" w:rsidRPr="002F436E" w:rsidRDefault="00BA40A1" w:rsidP="00FC5B14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024233">
              <w:t xml:space="preserve">4. </w:t>
            </w:r>
            <w:r w:rsidR="00FC5B14">
              <w:rPr>
                <w:sz w:val="24"/>
                <w:szCs w:val="24"/>
              </w:rPr>
              <w:t>Source reduction for implementing a Pay As You Throw program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FC5B14" w:rsidRPr="002F436E" w:rsidRDefault="00FC5B14" w:rsidP="00C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reduction for </w:t>
            </w:r>
            <w:r w:rsidR="007235A3">
              <w:rPr>
                <w:sz w:val="24"/>
                <w:szCs w:val="24"/>
              </w:rPr>
              <w:t xml:space="preserve">implementing </w:t>
            </w:r>
            <w:r>
              <w:rPr>
                <w:sz w:val="24"/>
                <w:szCs w:val="24"/>
              </w:rPr>
              <w:t>other types of programs</w:t>
            </w:r>
            <w:r w:rsidR="007235A3">
              <w:rPr>
                <w:sz w:val="24"/>
                <w:szCs w:val="24"/>
              </w:rPr>
              <w:t xml:space="preserve">. </w:t>
            </w:r>
            <w:r w:rsidR="00B31EF8">
              <w:rPr>
                <w:sz w:val="24"/>
                <w:szCs w:val="24"/>
              </w:rPr>
              <w:t xml:space="preserve"> </w:t>
            </w:r>
            <w:r w:rsidR="007235A3">
              <w:rPr>
                <w:sz w:val="24"/>
                <w:szCs w:val="24"/>
              </w:rPr>
              <w:t>(Limitations in available data</w:t>
            </w:r>
            <w:r w:rsidR="00CB14E4">
              <w:rPr>
                <w:sz w:val="24"/>
                <w:szCs w:val="24"/>
              </w:rPr>
              <w:t xml:space="preserve"> </w:t>
            </w:r>
            <w:r w:rsidR="007235A3">
              <w:rPr>
                <w:sz w:val="24"/>
                <w:szCs w:val="24"/>
              </w:rPr>
              <w:t>precluded the usefulness of incorporat</w:t>
            </w:r>
            <w:r w:rsidR="00C37F9F">
              <w:rPr>
                <w:sz w:val="24"/>
                <w:szCs w:val="24"/>
              </w:rPr>
              <w:t>ing</w:t>
            </w:r>
            <w:r w:rsidR="007235A3">
              <w:rPr>
                <w:sz w:val="24"/>
                <w:szCs w:val="24"/>
              </w:rPr>
              <w:t xml:space="preserve"> other source reduction</w:t>
            </w:r>
            <w:r w:rsidR="00C37F9F">
              <w:rPr>
                <w:sz w:val="24"/>
                <w:szCs w:val="24"/>
              </w:rPr>
              <w:t xml:space="preserve"> measures</w:t>
            </w:r>
            <w:r w:rsidR="007235A3">
              <w:rPr>
                <w:sz w:val="24"/>
                <w:szCs w:val="24"/>
              </w:rPr>
              <w:t>.)</w:t>
            </w:r>
          </w:p>
        </w:tc>
      </w:tr>
      <w:tr w:rsidR="00FC5B14" w:rsidTr="00024233">
        <w:trPr>
          <w:trHeight w:val="5280"/>
        </w:trPr>
        <w:tc>
          <w:tcPr>
            <w:tcW w:w="4655" w:type="dxa"/>
            <w:tcBorders>
              <w:right w:val="single" w:sz="4" w:space="0" w:color="auto"/>
            </w:tcBorders>
          </w:tcPr>
          <w:p w:rsidR="00FC5B14" w:rsidRPr="002F436E" w:rsidRDefault="00024233" w:rsidP="00FC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235A3">
              <w:rPr>
                <w:sz w:val="24"/>
                <w:szCs w:val="24"/>
              </w:rPr>
              <w:t>GHG benefits</w:t>
            </w:r>
            <w:r w:rsidR="00FC5B14">
              <w:rPr>
                <w:sz w:val="24"/>
                <w:szCs w:val="24"/>
              </w:rPr>
              <w:t xml:space="preserve"> from composting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235A3" w:rsidRDefault="00FC5B14" w:rsidP="0072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</w:t>
            </w:r>
            <w:r w:rsidR="007235A3">
              <w:rPr>
                <w:sz w:val="24"/>
                <w:szCs w:val="24"/>
              </w:rPr>
              <w:t>her benefits of composting, such as</w:t>
            </w:r>
          </w:p>
          <w:p w:rsidR="007235A3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</w:t>
            </w:r>
            <w:r w:rsidR="007235A3">
              <w:rPr>
                <w:sz w:val="24"/>
                <w:szCs w:val="24"/>
              </w:rPr>
              <w:t xml:space="preserve"> need for chemical fertilizers</w:t>
            </w:r>
          </w:p>
          <w:p w:rsidR="007235A3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</w:t>
            </w:r>
            <w:r w:rsidR="007235A3">
              <w:rPr>
                <w:sz w:val="24"/>
                <w:szCs w:val="24"/>
              </w:rPr>
              <w:t xml:space="preserve"> use of pesticides / fungicides</w:t>
            </w:r>
          </w:p>
          <w:p w:rsidR="007235A3" w:rsidRDefault="007235A3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 w:rsidRPr="007235A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mproved crop nutritional value</w:t>
            </w:r>
          </w:p>
          <w:p w:rsidR="00FC5B14" w:rsidRDefault="007235A3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 w:rsidRPr="007235A3">
              <w:rPr>
                <w:sz w:val="24"/>
                <w:szCs w:val="24"/>
              </w:rPr>
              <w:t xml:space="preserve">improved water holding capacity </w:t>
            </w:r>
            <w:r>
              <w:rPr>
                <w:sz w:val="24"/>
                <w:szCs w:val="24"/>
              </w:rPr>
              <w:t xml:space="preserve">of soil </w:t>
            </w:r>
            <w:r w:rsidRPr="007235A3">
              <w:rPr>
                <w:sz w:val="24"/>
                <w:szCs w:val="24"/>
              </w:rPr>
              <w:t>and infiltration</w:t>
            </w:r>
            <w:r>
              <w:rPr>
                <w:sz w:val="24"/>
                <w:szCs w:val="24"/>
              </w:rPr>
              <w:t xml:space="preserve"> (less runoff)</w:t>
            </w:r>
          </w:p>
          <w:p w:rsidR="00654EEF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of solids, oils, grease, and heavy metals from stormwater runoff</w:t>
            </w:r>
          </w:p>
          <w:p w:rsidR="00654EEF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suppression of plant diseases and pests</w:t>
            </w:r>
          </w:p>
          <w:p w:rsidR="00654EEF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facilitation of reforestation, wetlands restoration, and habitat revitalization efforts by amending contaminated, compacted, and marginal soils</w:t>
            </w:r>
          </w:p>
          <w:p w:rsidR="00654EEF" w:rsidRDefault="00654EEF" w:rsidP="007235A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cost-effective remediation of soils contaminated by hazardous waste</w:t>
            </w:r>
          </w:p>
          <w:p w:rsidR="00654EEF" w:rsidRPr="007235A3" w:rsidRDefault="00654EEF" w:rsidP="00654EE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capture of industrial volatile organic chemicals in contaminated air</w:t>
            </w:r>
          </w:p>
        </w:tc>
      </w:tr>
      <w:tr w:rsidR="00E623FF" w:rsidTr="00024233">
        <w:trPr>
          <w:trHeight w:val="2013"/>
        </w:trPr>
        <w:tc>
          <w:tcPr>
            <w:tcW w:w="4655" w:type="dxa"/>
            <w:tcBorders>
              <w:right w:val="single" w:sz="4" w:space="0" w:color="auto"/>
            </w:tcBorders>
          </w:tcPr>
          <w:p w:rsidR="00E623FF" w:rsidRDefault="00045EA5" w:rsidP="0081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623FF">
              <w:rPr>
                <w:sz w:val="24"/>
                <w:szCs w:val="24"/>
              </w:rPr>
              <w:t>The national average Landfill Gas Recovery, as applied in WARM</w:t>
            </w:r>
            <w:r w:rsidR="00812122">
              <w:rPr>
                <w:sz w:val="24"/>
                <w:szCs w:val="24"/>
              </w:rPr>
              <w:t>, f</w:t>
            </w:r>
            <w:r w:rsidR="00E623FF">
              <w:rPr>
                <w:sz w:val="24"/>
                <w:szCs w:val="24"/>
              </w:rPr>
              <w:t xml:space="preserve">or purposes of estimating GHG reductions from source reduction, recycling, </w:t>
            </w:r>
            <w:r w:rsidR="00812122">
              <w:rPr>
                <w:sz w:val="24"/>
                <w:szCs w:val="24"/>
              </w:rPr>
              <w:t>and/</w:t>
            </w:r>
            <w:r w:rsidR="00E623FF">
              <w:rPr>
                <w:sz w:val="24"/>
                <w:szCs w:val="24"/>
              </w:rPr>
              <w:t>or composting versus landfilling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623FF" w:rsidRDefault="00E623FF" w:rsidP="00CE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percentages of Landfill Gas Recovery that may apply in a</w:t>
            </w:r>
            <w:r w:rsidR="00CE6C8D">
              <w:rPr>
                <w:sz w:val="24"/>
                <w:szCs w:val="24"/>
              </w:rPr>
              <w:t xml:space="preserve"> given area</w:t>
            </w:r>
          </w:p>
        </w:tc>
      </w:tr>
      <w:tr w:rsidR="00CB14E4" w:rsidTr="00024233">
        <w:trPr>
          <w:trHeight w:val="2013"/>
        </w:trPr>
        <w:tc>
          <w:tcPr>
            <w:tcW w:w="4655" w:type="dxa"/>
            <w:tcBorders>
              <w:right w:val="single" w:sz="4" w:space="0" w:color="auto"/>
            </w:tcBorders>
          </w:tcPr>
          <w:p w:rsidR="00247AF6" w:rsidRDefault="00045EA5" w:rsidP="007E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B14E4">
              <w:rPr>
                <w:sz w:val="24"/>
                <w:szCs w:val="24"/>
              </w:rPr>
              <w:t>Recovery rate of Construction &amp; Demolition</w:t>
            </w:r>
            <w:r w:rsidR="007E2A18">
              <w:rPr>
                <w:sz w:val="24"/>
                <w:szCs w:val="24"/>
              </w:rPr>
              <w:t xml:space="preserve"> (C&amp;D)</w:t>
            </w:r>
            <w:r w:rsidR="00CB14E4">
              <w:rPr>
                <w:sz w:val="24"/>
                <w:szCs w:val="24"/>
              </w:rPr>
              <w:t xml:space="preserve"> debris recycling facilities</w:t>
            </w:r>
          </w:p>
          <w:p w:rsidR="00247AF6" w:rsidRDefault="00247AF6" w:rsidP="007E2A18">
            <w:pPr>
              <w:rPr>
                <w:sz w:val="24"/>
                <w:szCs w:val="24"/>
              </w:rPr>
            </w:pPr>
          </w:p>
          <w:p w:rsidR="00CB14E4" w:rsidRDefault="007E2A18" w:rsidP="007E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included as a specific factor on the C&amp;D Recycling tab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CB14E4" w:rsidRDefault="007E2A18" w:rsidP="007E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Recovery rate of Material Recovery Facilities (MRFs)</w:t>
            </w:r>
          </w:p>
          <w:p w:rsidR="007E2A18" w:rsidRDefault="007E2A18" w:rsidP="007E2A18">
            <w:pPr>
              <w:rPr>
                <w:sz w:val="24"/>
                <w:szCs w:val="24"/>
              </w:rPr>
            </w:pPr>
          </w:p>
          <w:p w:rsidR="007E2A18" w:rsidRDefault="007E2A18" w:rsidP="0004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wish to apply a discount to projected recycling increases that you enter on the program tabs for metal, glass</w:t>
            </w:r>
            <w:r w:rsidR="003601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plastic, paper, and wood to account for local MRF recovery rates less than 100%</w:t>
            </w:r>
            <w:r w:rsidR="00045EA5">
              <w:rPr>
                <w:sz w:val="24"/>
                <w:szCs w:val="24"/>
              </w:rPr>
              <w:t>.</w:t>
            </w:r>
          </w:p>
        </w:tc>
      </w:tr>
    </w:tbl>
    <w:p w:rsidR="00311D02" w:rsidRDefault="007B520E" w:rsidP="002F436E"/>
    <w:sectPr w:rsidR="00311D02" w:rsidSect="00247AF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E" w:rsidRDefault="007B520E" w:rsidP="00487E99">
      <w:pPr>
        <w:spacing w:after="0" w:line="240" w:lineRule="auto"/>
      </w:pPr>
      <w:r>
        <w:separator/>
      </w:r>
    </w:p>
  </w:endnote>
  <w:endnote w:type="continuationSeparator" w:id="0">
    <w:p w:rsidR="007B520E" w:rsidRDefault="007B520E" w:rsidP="004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E" w:rsidRDefault="007B520E" w:rsidP="00487E99">
      <w:pPr>
        <w:spacing w:after="0" w:line="240" w:lineRule="auto"/>
      </w:pPr>
      <w:r>
        <w:separator/>
      </w:r>
    </w:p>
  </w:footnote>
  <w:footnote w:type="continuationSeparator" w:id="0">
    <w:p w:rsidR="007B520E" w:rsidRDefault="007B520E" w:rsidP="0048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76E64"/>
    <w:multiLevelType w:val="hybridMultilevel"/>
    <w:tmpl w:val="6742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DE0"/>
    <w:multiLevelType w:val="hybridMultilevel"/>
    <w:tmpl w:val="843A13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E"/>
    <w:rsid w:val="00024233"/>
    <w:rsid w:val="00045EA5"/>
    <w:rsid w:val="001A73CA"/>
    <w:rsid w:val="00201489"/>
    <w:rsid w:val="00216E0B"/>
    <w:rsid w:val="00247AF6"/>
    <w:rsid w:val="002A25D3"/>
    <w:rsid w:val="002B123B"/>
    <w:rsid w:val="002D4AF8"/>
    <w:rsid w:val="002F436E"/>
    <w:rsid w:val="002F4D60"/>
    <w:rsid w:val="003601E2"/>
    <w:rsid w:val="003D66B6"/>
    <w:rsid w:val="0044220E"/>
    <w:rsid w:val="00487E99"/>
    <w:rsid w:val="00573C52"/>
    <w:rsid w:val="005F1E4F"/>
    <w:rsid w:val="00654EEF"/>
    <w:rsid w:val="007235A3"/>
    <w:rsid w:val="007267F9"/>
    <w:rsid w:val="00760A66"/>
    <w:rsid w:val="007B520E"/>
    <w:rsid w:val="007E2A18"/>
    <w:rsid w:val="00812122"/>
    <w:rsid w:val="00826C4B"/>
    <w:rsid w:val="008F1CAF"/>
    <w:rsid w:val="009A749B"/>
    <w:rsid w:val="00A34738"/>
    <w:rsid w:val="00A70ED0"/>
    <w:rsid w:val="00B24254"/>
    <w:rsid w:val="00B31EF8"/>
    <w:rsid w:val="00B55625"/>
    <w:rsid w:val="00BA40A1"/>
    <w:rsid w:val="00C37F9F"/>
    <w:rsid w:val="00C44F06"/>
    <w:rsid w:val="00CB14E4"/>
    <w:rsid w:val="00CD11EB"/>
    <w:rsid w:val="00CE6C8D"/>
    <w:rsid w:val="00D36F55"/>
    <w:rsid w:val="00D5731A"/>
    <w:rsid w:val="00DF5F11"/>
    <w:rsid w:val="00E623FF"/>
    <w:rsid w:val="00EC3CA9"/>
    <w:rsid w:val="00EE6474"/>
    <w:rsid w:val="00EF6BA0"/>
    <w:rsid w:val="00F31A22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378A-96FA-4248-B408-F399024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6E"/>
    <w:pPr>
      <w:ind w:left="720"/>
      <w:contextualSpacing/>
    </w:pPr>
  </w:style>
  <w:style w:type="table" w:styleId="TableGrid">
    <w:name w:val="Table Grid"/>
    <w:basedOn w:val="TableNormal"/>
    <w:uiPriority w:val="39"/>
    <w:rsid w:val="002F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3C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E9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warm/documentation-waste-reduction-model-wa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5C25-FB81-4368-B3BB-7F9EC88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Karen</dc:creator>
  <cp:keywords/>
  <dc:description/>
  <cp:lastModifiedBy>Irwin, Karen</cp:lastModifiedBy>
  <cp:revision>31</cp:revision>
  <dcterms:created xsi:type="dcterms:W3CDTF">2016-04-21T00:13:00Z</dcterms:created>
  <dcterms:modified xsi:type="dcterms:W3CDTF">2016-05-03T22:48:00Z</dcterms:modified>
</cp:coreProperties>
</file>