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6B" w:rsidRPr="009A71F6" w:rsidRDefault="0066600C" w:rsidP="00784DB8">
      <w:pPr>
        <w:pStyle w:val="NormalWeb"/>
        <w:shd w:val="clear" w:color="auto" w:fill="FFFFFF"/>
        <w:spacing w:before="0" w:beforeAutospacing="0" w:after="360" w:afterAutospacing="0" w:line="216" w:lineRule="atLeast"/>
        <w:jc w:val="center"/>
        <w:rPr>
          <w:rFonts w:ascii="Arial" w:eastAsiaTheme="minorHAnsi" w:hAnsi="Arial" w:cs="Arial"/>
          <w:b/>
          <w:color w:val="151515"/>
          <w:sz w:val="20"/>
          <w:szCs w:val="20"/>
        </w:rPr>
      </w:pPr>
      <w:bookmarkStart w:id="0" w:name="_GoBack"/>
      <w:bookmarkEnd w:id="0"/>
      <w:r>
        <w:rPr>
          <w:rFonts w:ascii="Arial" w:eastAsiaTheme="minorHAnsi" w:hAnsi="Arial" w:cs="Arial"/>
          <w:b/>
          <w:color w:val="151515"/>
          <w:sz w:val="20"/>
          <w:szCs w:val="20"/>
        </w:rPr>
        <w:t>Table 3-22</w:t>
      </w:r>
      <w:r w:rsidR="00B20C6B">
        <w:rPr>
          <w:rFonts w:ascii="Arial" w:eastAsiaTheme="minorHAnsi" w:hAnsi="Arial" w:cs="Arial"/>
          <w:b/>
          <w:color w:val="151515"/>
          <w:sz w:val="20"/>
          <w:szCs w:val="20"/>
        </w:rPr>
        <w:t xml:space="preserve"> State Power Regulations in EPA </w:t>
      </w:r>
      <w:r w:rsidR="00784DB8">
        <w:rPr>
          <w:rFonts w:ascii="Arial" w:eastAsiaTheme="minorHAnsi" w:hAnsi="Arial" w:cs="Arial"/>
          <w:b/>
          <w:color w:val="151515"/>
          <w:sz w:val="20"/>
          <w:szCs w:val="20"/>
        </w:rPr>
        <w:t>Platform v6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1434"/>
        <w:gridCol w:w="878"/>
        <w:gridCol w:w="5277"/>
        <w:gridCol w:w="1350"/>
        <w:gridCol w:w="3078"/>
      </w:tblGrid>
      <w:tr w:rsidR="00B20C6B" w:rsidRPr="008B54F2" w:rsidTr="00CD188D">
        <w:trPr>
          <w:cantSplit/>
          <w:tblHeader/>
        </w:trPr>
        <w:tc>
          <w:tcPr>
            <w:tcW w:w="1159" w:type="dxa"/>
            <w:shd w:val="clear" w:color="000000" w:fill="FFFFFF"/>
            <w:vAlign w:val="bottom"/>
            <w:hideMark/>
          </w:tcPr>
          <w:p w:rsidR="00B20C6B" w:rsidRPr="008B54F2" w:rsidRDefault="00B20C6B" w:rsidP="00CD188D">
            <w:pPr>
              <w:spacing w:before="20" w:after="20"/>
              <w:jc w:val="center"/>
              <w:rPr>
                <w:rFonts w:cs="Arial"/>
                <w:b/>
                <w:bCs/>
                <w:sz w:val="14"/>
                <w:szCs w:val="14"/>
              </w:rPr>
            </w:pPr>
            <w:r w:rsidRPr="008B54F2">
              <w:rPr>
                <w:rFonts w:cs="Arial"/>
                <w:b/>
                <w:bCs/>
                <w:sz w:val="14"/>
                <w:szCs w:val="14"/>
              </w:rPr>
              <w:t>State/Region</w:t>
            </w:r>
          </w:p>
        </w:tc>
        <w:tc>
          <w:tcPr>
            <w:tcW w:w="1434" w:type="dxa"/>
            <w:shd w:val="clear" w:color="000000" w:fill="FFFFFF"/>
            <w:vAlign w:val="bottom"/>
            <w:hideMark/>
          </w:tcPr>
          <w:p w:rsidR="00B20C6B" w:rsidRPr="008B54F2" w:rsidRDefault="00B20C6B" w:rsidP="00CD188D">
            <w:pPr>
              <w:spacing w:before="20" w:after="20"/>
              <w:jc w:val="center"/>
              <w:rPr>
                <w:rFonts w:cs="Arial"/>
                <w:b/>
                <w:bCs/>
                <w:sz w:val="14"/>
                <w:szCs w:val="14"/>
              </w:rPr>
            </w:pPr>
            <w:r w:rsidRPr="008B54F2">
              <w:rPr>
                <w:rFonts w:cs="Arial"/>
                <w:b/>
                <w:bCs/>
                <w:sz w:val="14"/>
                <w:szCs w:val="14"/>
              </w:rPr>
              <w:t>Bill</w:t>
            </w:r>
          </w:p>
        </w:tc>
        <w:tc>
          <w:tcPr>
            <w:tcW w:w="878" w:type="dxa"/>
            <w:shd w:val="clear" w:color="000000" w:fill="FFFFFF"/>
            <w:vAlign w:val="bottom"/>
            <w:hideMark/>
          </w:tcPr>
          <w:p w:rsidR="00B20C6B" w:rsidRPr="008B54F2" w:rsidRDefault="00B20C6B" w:rsidP="00CD188D">
            <w:pPr>
              <w:spacing w:before="20" w:after="20"/>
              <w:jc w:val="center"/>
              <w:rPr>
                <w:rFonts w:cs="Arial"/>
                <w:b/>
                <w:bCs/>
                <w:sz w:val="14"/>
                <w:szCs w:val="14"/>
              </w:rPr>
            </w:pPr>
            <w:r w:rsidRPr="008B54F2">
              <w:rPr>
                <w:rFonts w:cs="Arial"/>
                <w:b/>
                <w:bCs/>
                <w:sz w:val="14"/>
                <w:szCs w:val="14"/>
              </w:rPr>
              <w:t>Emission Type</w:t>
            </w:r>
          </w:p>
        </w:tc>
        <w:tc>
          <w:tcPr>
            <w:tcW w:w="5277" w:type="dxa"/>
            <w:shd w:val="clear" w:color="000000" w:fill="FFFFFF"/>
            <w:vAlign w:val="bottom"/>
            <w:hideMark/>
          </w:tcPr>
          <w:p w:rsidR="00B20C6B" w:rsidRPr="008B54F2" w:rsidRDefault="00B20C6B" w:rsidP="00CD188D">
            <w:pPr>
              <w:spacing w:before="20" w:after="20"/>
              <w:jc w:val="center"/>
              <w:rPr>
                <w:rFonts w:cs="Arial"/>
                <w:b/>
                <w:bCs/>
                <w:sz w:val="14"/>
                <w:szCs w:val="14"/>
              </w:rPr>
            </w:pPr>
            <w:r w:rsidRPr="008B54F2">
              <w:rPr>
                <w:rFonts w:cs="Arial"/>
                <w:b/>
                <w:bCs/>
                <w:sz w:val="14"/>
                <w:szCs w:val="14"/>
              </w:rPr>
              <w:t>Emission Specifications</w:t>
            </w:r>
          </w:p>
        </w:tc>
        <w:tc>
          <w:tcPr>
            <w:tcW w:w="1350" w:type="dxa"/>
            <w:shd w:val="clear" w:color="000000" w:fill="FFFFFF"/>
            <w:vAlign w:val="bottom"/>
            <w:hideMark/>
          </w:tcPr>
          <w:p w:rsidR="00B20C6B" w:rsidRPr="008B54F2" w:rsidRDefault="00B20C6B" w:rsidP="00CD188D">
            <w:pPr>
              <w:spacing w:before="20" w:after="20"/>
              <w:jc w:val="center"/>
              <w:rPr>
                <w:rFonts w:cs="Arial"/>
                <w:b/>
                <w:bCs/>
                <w:sz w:val="14"/>
                <w:szCs w:val="14"/>
              </w:rPr>
            </w:pPr>
            <w:r w:rsidRPr="008B54F2">
              <w:rPr>
                <w:rFonts w:cs="Arial"/>
                <w:b/>
                <w:bCs/>
                <w:sz w:val="14"/>
                <w:szCs w:val="14"/>
              </w:rPr>
              <w:t>Implementation Status</w:t>
            </w:r>
          </w:p>
        </w:tc>
        <w:tc>
          <w:tcPr>
            <w:tcW w:w="3078" w:type="dxa"/>
            <w:shd w:val="clear" w:color="000000" w:fill="FFFFFF"/>
            <w:vAlign w:val="bottom"/>
            <w:hideMark/>
          </w:tcPr>
          <w:p w:rsidR="00B20C6B" w:rsidRPr="008B54F2" w:rsidRDefault="00B20C6B" w:rsidP="00CD188D">
            <w:pPr>
              <w:spacing w:before="20" w:after="20"/>
              <w:jc w:val="center"/>
              <w:rPr>
                <w:rFonts w:cs="Arial"/>
                <w:b/>
                <w:bCs/>
                <w:sz w:val="14"/>
                <w:szCs w:val="14"/>
              </w:rPr>
            </w:pPr>
            <w:r w:rsidRPr="008B54F2">
              <w:rPr>
                <w:rFonts w:cs="Arial"/>
                <w:b/>
                <w:bCs/>
                <w:sz w:val="14"/>
                <w:szCs w:val="14"/>
              </w:rPr>
              <w:t>Notes</w:t>
            </w:r>
          </w:p>
        </w:tc>
      </w:tr>
      <w:tr w:rsidR="00B20C6B" w:rsidRPr="008B54F2" w:rsidTr="00CD188D">
        <w:trPr>
          <w:cantSplit/>
        </w:trPr>
        <w:tc>
          <w:tcPr>
            <w:tcW w:w="1159"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Alabama</w:t>
            </w: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Alabama Administrative Code Chapter 335-3-8</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0.02 lbs/MMBtu</w:t>
            </w:r>
            <w:r w:rsidRPr="008B54F2">
              <w:rPr>
                <w:rFonts w:cs="Arial" w:hint="eastAsia"/>
                <w:sz w:val="14"/>
                <w:szCs w:val="14"/>
                <w:lang w:eastAsia="ko-KR"/>
              </w:rPr>
              <w:t xml:space="preserve"> </w:t>
            </w:r>
            <w:r w:rsidRPr="008B54F2">
              <w:rPr>
                <w:rFonts w:cs="Arial"/>
                <w:sz w:val="14"/>
                <w:szCs w:val="14"/>
              </w:rPr>
              <w:t>for combined cycle EGUs which commenced operation after April 1, 2003; For combined-cycle electric generating units fired by natural gas: 4.0 ppmvd at 15% O2 (0.0178 lbs/MMBtu), by fuel oil- 15.0 ppmvd  at 15% O2 (0.0667 lbs/MMBtu)</w:t>
            </w:r>
          </w:p>
        </w:tc>
        <w:tc>
          <w:tcPr>
            <w:tcW w:w="1350"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2003</w:t>
            </w:r>
          </w:p>
        </w:tc>
        <w:tc>
          <w:tcPr>
            <w:tcW w:w="30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 </w:t>
            </w:r>
          </w:p>
        </w:tc>
      </w:tr>
      <w:tr w:rsidR="00B20C6B" w:rsidRPr="008B54F2" w:rsidTr="00CD188D">
        <w:trPr>
          <w:cantSplit/>
        </w:trPr>
        <w:tc>
          <w:tcPr>
            <w:tcW w:w="1159"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Arizona</w:t>
            </w: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Title 18, Chapter 2, Article 7</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90% removal of Hg content of fuel or 0.0087 lbs/GWh annual reduction for all non-cogen coal units &gt; 25 MW</w:t>
            </w:r>
          </w:p>
        </w:tc>
        <w:tc>
          <w:tcPr>
            <w:tcW w:w="1350"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2017</w:t>
            </w:r>
          </w:p>
        </w:tc>
        <w:tc>
          <w:tcPr>
            <w:tcW w:w="30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 </w:t>
            </w:r>
          </w:p>
        </w:tc>
      </w:tr>
      <w:tr w:rsidR="00B20C6B" w:rsidRPr="008B54F2" w:rsidTr="00CD188D">
        <w:trPr>
          <w:cantSplit/>
        </w:trPr>
        <w:tc>
          <w:tcPr>
            <w:tcW w:w="1159"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California</w:t>
            </w:r>
          </w:p>
        </w:tc>
        <w:tc>
          <w:tcPr>
            <w:tcW w:w="1434"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CA Reclaim Market</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 xml:space="preserve">9.68 MTons annual cap for list of entities in Appendix A of "Annual RECLAIM Audit Market Report for the Compliance Year 2005" (304 entities) </w:t>
            </w:r>
          </w:p>
        </w:tc>
        <w:tc>
          <w:tcPr>
            <w:tcW w:w="1350"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1994</w:t>
            </w:r>
          </w:p>
        </w:tc>
        <w:tc>
          <w:tcPr>
            <w:tcW w:w="3078" w:type="dxa"/>
            <w:vMerge w:val="restart"/>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Since the Reclaim Trading Credits are applicable to entities besides power plants, we approximate by hardwiring the NO</w:t>
            </w:r>
            <w:r w:rsidRPr="008B54F2">
              <w:rPr>
                <w:rFonts w:cs="Arial"/>
                <w:sz w:val="14"/>
                <w:szCs w:val="14"/>
                <w:vertAlign w:val="subscript"/>
              </w:rPr>
              <w:t>x</w:t>
            </w:r>
            <w:r w:rsidRPr="008B54F2">
              <w:rPr>
                <w:rFonts w:cs="Arial"/>
                <w:sz w:val="14"/>
                <w:szCs w:val="14"/>
              </w:rPr>
              <w:t xml:space="preserve"> and SO</w:t>
            </w:r>
            <w:r w:rsidRPr="008B54F2">
              <w:rPr>
                <w:rFonts w:cs="Arial"/>
                <w:sz w:val="14"/>
                <w:szCs w:val="14"/>
                <w:vertAlign w:val="subscript"/>
              </w:rPr>
              <w:t>2</w:t>
            </w:r>
            <w:r w:rsidRPr="008B54F2">
              <w:rPr>
                <w:rFonts w:cs="Arial"/>
                <w:sz w:val="14"/>
                <w:szCs w:val="14"/>
              </w:rPr>
              <w:t xml:space="preserve"> allowance prices for the calendar year 2006.</w:t>
            </w: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vMerge/>
            <w:vAlign w:val="center"/>
            <w:hideMark/>
          </w:tcPr>
          <w:p w:rsidR="00B20C6B" w:rsidRPr="008B54F2" w:rsidRDefault="00B20C6B" w:rsidP="00CD188D">
            <w:pPr>
              <w:spacing w:before="20" w:after="20"/>
              <w:rPr>
                <w:rFonts w:cs="Arial"/>
                <w:sz w:val="14"/>
                <w:szCs w:val="14"/>
              </w:rPr>
            </w:pP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 xml:space="preserve">2.839 MTons in 2016, 2.474 in 2018, and 2.219 in 2020 onward annual cap for list of entities in Appendix A of "Annual RECLAIM Audit Market Report for the Compliance Year 2005" (304 entities) </w:t>
            </w:r>
          </w:p>
        </w:tc>
        <w:tc>
          <w:tcPr>
            <w:tcW w:w="1350" w:type="dxa"/>
            <w:vMerge/>
            <w:vAlign w:val="center"/>
            <w:hideMark/>
          </w:tcPr>
          <w:p w:rsidR="00B20C6B" w:rsidRPr="008B54F2" w:rsidRDefault="00B20C6B" w:rsidP="00CD188D">
            <w:pPr>
              <w:spacing w:before="20" w:after="20"/>
              <w:rPr>
                <w:rFonts w:cs="Arial"/>
                <w:sz w:val="14"/>
                <w:szCs w:val="14"/>
              </w:rPr>
            </w:pPr>
          </w:p>
        </w:tc>
        <w:tc>
          <w:tcPr>
            <w:tcW w:w="3078" w:type="dxa"/>
            <w:vMerge/>
            <w:vAlign w:val="center"/>
            <w:hideMark/>
          </w:tcPr>
          <w:p w:rsidR="00B20C6B" w:rsidRPr="008B54F2" w:rsidRDefault="00B20C6B" w:rsidP="00CD188D">
            <w:pPr>
              <w:spacing w:before="20" w:after="20"/>
              <w:rPr>
                <w:rFonts w:cs="Arial"/>
                <w:sz w:val="14"/>
                <w:szCs w:val="14"/>
              </w:rPr>
            </w:pPr>
          </w:p>
        </w:tc>
      </w:tr>
      <w:tr w:rsidR="00B20C6B" w:rsidRPr="008B54F2" w:rsidTr="00CD188D">
        <w:trPr>
          <w:cantSplit/>
        </w:trPr>
        <w:tc>
          <w:tcPr>
            <w:tcW w:w="1159" w:type="dxa"/>
            <w:vMerge/>
            <w:shd w:val="clear" w:color="000000" w:fill="FFFFFF"/>
            <w:vAlign w:val="center"/>
          </w:tcPr>
          <w:p w:rsidR="00B20C6B" w:rsidRPr="008B54F2" w:rsidRDefault="00B20C6B" w:rsidP="00CD188D">
            <w:pPr>
              <w:spacing w:before="20" w:after="20"/>
              <w:jc w:val="center"/>
              <w:rPr>
                <w:rFonts w:cs="Arial"/>
                <w:sz w:val="14"/>
                <w:szCs w:val="14"/>
              </w:rPr>
            </w:pPr>
          </w:p>
        </w:tc>
        <w:tc>
          <w:tcPr>
            <w:tcW w:w="1434" w:type="dxa"/>
            <w:shd w:val="clear" w:color="000000" w:fill="FFFFFF"/>
            <w:vAlign w:val="center"/>
          </w:tcPr>
          <w:p w:rsidR="00B20C6B" w:rsidRPr="008B54F2" w:rsidRDefault="00B20C6B" w:rsidP="00CD188D">
            <w:pPr>
              <w:spacing w:before="20" w:after="20"/>
              <w:jc w:val="center"/>
              <w:rPr>
                <w:rFonts w:cs="Arial"/>
                <w:sz w:val="14"/>
                <w:szCs w:val="14"/>
              </w:rPr>
            </w:pPr>
            <w:r w:rsidRPr="008B54F2">
              <w:rPr>
                <w:rFonts w:cs="Arial"/>
                <w:sz w:val="14"/>
                <w:szCs w:val="14"/>
              </w:rPr>
              <w:t>CA AB 32</w:t>
            </w:r>
          </w:p>
        </w:tc>
        <w:tc>
          <w:tcPr>
            <w:tcW w:w="878" w:type="dxa"/>
            <w:shd w:val="clear" w:color="000000" w:fill="FFFFFF"/>
            <w:vAlign w:val="center"/>
          </w:tcPr>
          <w:p w:rsidR="00B20C6B" w:rsidRPr="008B54F2" w:rsidRDefault="00B20C6B" w:rsidP="00CD188D">
            <w:pPr>
              <w:spacing w:before="20" w:after="20"/>
              <w:jc w:val="center"/>
              <w:rPr>
                <w:rFonts w:cs="Arial"/>
                <w:sz w:val="14"/>
                <w:szCs w:val="14"/>
              </w:rPr>
            </w:pPr>
            <w:r w:rsidRPr="008B54F2">
              <w:rPr>
                <w:rFonts w:cs="Arial"/>
                <w:sz w:val="14"/>
                <w:szCs w:val="14"/>
              </w:rPr>
              <w:t>CO</w:t>
            </w:r>
            <w:r w:rsidRPr="008B54F2">
              <w:rPr>
                <w:rFonts w:cs="Arial"/>
                <w:sz w:val="14"/>
                <w:szCs w:val="14"/>
                <w:vertAlign w:val="subscript"/>
              </w:rPr>
              <w:t>2</w:t>
            </w:r>
          </w:p>
        </w:tc>
        <w:tc>
          <w:tcPr>
            <w:tcW w:w="5277" w:type="dxa"/>
            <w:shd w:val="clear" w:color="000000" w:fill="FFFFFF"/>
            <w:vAlign w:val="center"/>
          </w:tcPr>
          <w:p w:rsidR="00B20C6B" w:rsidRPr="008B54F2" w:rsidRDefault="00B20C6B" w:rsidP="00CD188D">
            <w:pPr>
              <w:spacing w:before="20" w:after="20"/>
              <w:rPr>
                <w:rFonts w:cs="Arial"/>
                <w:sz w:val="14"/>
                <w:szCs w:val="14"/>
              </w:rPr>
            </w:pPr>
            <w:r w:rsidRPr="008B54F2">
              <w:rPr>
                <w:rFonts w:cs="Arial"/>
                <w:sz w:val="14"/>
                <w:szCs w:val="14"/>
              </w:rPr>
              <w:t>Power sector and Non-power Sector Cap in Million metric tons.</w:t>
            </w:r>
          </w:p>
        </w:tc>
        <w:tc>
          <w:tcPr>
            <w:tcW w:w="1350" w:type="dxa"/>
            <w:shd w:val="clear" w:color="000000" w:fill="FFFFFF"/>
            <w:noWrap/>
            <w:vAlign w:val="center"/>
          </w:tcPr>
          <w:p w:rsidR="00B20C6B" w:rsidRPr="008B54F2" w:rsidRDefault="00B20C6B"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noWrap/>
            <w:vAlign w:val="center"/>
          </w:tcPr>
          <w:p w:rsidR="00B20C6B" w:rsidRPr="008B54F2" w:rsidRDefault="00B20C6B" w:rsidP="00CD188D">
            <w:pPr>
              <w:spacing w:before="20" w:after="20"/>
              <w:rPr>
                <w:rFonts w:cs="Arial"/>
                <w:sz w:val="14"/>
                <w:szCs w:val="14"/>
              </w:rPr>
            </w:pPr>
            <w:r w:rsidRPr="008B54F2">
              <w:rPr>
                <w:rFonts w:cs="Arial"/>
                <w:sz w:val="14"/>
                <w:szCs w:val="14"/>
              </w:rPr>
              <w:t>Refer to Section 3.9.4 for details</w:t>
            </w:r>
          </w:p>
        </w:tc>
      </w:tr>
      <w:tr w:rsidR="00B20C6B" w:rsidRPr="008B54F2" w:rsidTr="00CD188D">
        <w:trPr>
          <w:cantSplit/>
        </w:trPr>
        <w:tc>
          <w:tcPr>
            <w:tcW w:w="1159"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Colorado</w:t>
            </w: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40 C.F.R. Part 60</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2012 &amp; 2013: 80% reduction of Hg content of fuel or 0.0174 lbs/GWh annual reduction for Pawnee Station 1 and Rawhide Station 101.</w:t>
            </w:r>
            <w:r w:rsidRPr="008B54F2">
              <w:rPr>
                <w:rFonts w:cs="Arial"/>
                <w:sz w:val="14"/>
                <w:szCs w:val="14"/>
              </w:rPr>
              <w:br/>
              <w:t>2014 through 2016: 80% reduction of Hg content of fuel or 0.0174 lbs/GWh annual reduction for all coal units &gt; 25 MW</w:t>
            </w:r>
            <w:r w:rsidRPr="008B54F2">
              <w:rPr>
                <w:rFonts w:cs="Arial"/>
                <w:sz w:val="14"/>
                <w:szCs w:val="14"/>
              </w:rPr>
              <w:br/>
              <w:t>2017 onwards: 90% reduction of Hg content of fuel or 0.0087 lb/GWh annual reduction for all coal units &gt; 25 MW</w:t>
            </w:r>
          </w:p>
        </w:tc>
        <w:tc>
          <w:tcPr>
            <w:tcW w:w="1350" w:type="dxa"/>
            <w:shd w:val="clear" w:color="000000" w:fill="FFFFFF"/>
            <w:noWrap/>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noWrap/>
            <w:vAlign w:val="center"/>
            <w:hideMark/>
          </w:tcPr>
          <w:p w:rsidR="00B20C6B" w:rsidRPr="008B54F2" w:rsidRDefault="00B20C6B" w:rsidP="00CD188D">
            <w:pPr>
              <w:spacing w:before="20" w:after="20"/>
              <w:rPr>
                <w:rFonts w:cs="Arial"/>
                <w:sz w:val="14"/>
                <w:szCs w:val="14"/>
              </w:rPr>
            </w:pPr>
            <w:r w:rsidRPr="008B54F2">
              <w:rPr>
                <w:rFonts w:cs="Arial"/>
                <w:sz w:val="14"/>
                <w:szCs w:val="14"/>
              </w:rPr>
              <w:t> </w:t>
            </w: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Clean Air, Clean Jobs Act</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 xml:space="preserve">x, </w:t>
            </w:r>
            <w:r w:rsidRPr="008B54F2">
              <w:rPr>
                <w:rFonts w:cs="Arial"/>
                <w:sz w:val="14"/>
                <w:szCs w:val="14"/>
              </w:rPr>
              <w:t>SO</w:t>
            </w:r>
            <w:r w:rsidRPr="008B54F2">
              <w:rPr>
                <w:rFonts w:cs="Arial"/>
                <w:sz w:val="14"/>
                <w:szCs w:val="14"/>
                <w:vertAlign w:val="subscript"/>
              </w:rPr>
              <w:t>2</w:t>
            </w:r>
            <w:r w:rsidRPr="008B54F2">
              <w:rPr>
                <w:rFonts w:cs="Arial"/>
                <w:sz w:val="14"/>
                <w:szCs w:val="14"/>
              </w:rPr>
              <w:t>,</w:t>
            </w:r>
            <w:r w:rsidRPr="008B54F2">
              <w:rPr>
                <w:rFonts w:cs="Arial"/>
                <w:sz w:val="14"/>
                <w:szCs w:val="14"/>
                <w:vertAlign w:val="subscript"/>
              </w:rPr>
              <w:t xml:space="preserve"> </w:t>
            </w:r>
            <w:r w:rsidRPr="008B54F2">
              <w:rPr>
                <w:rFonts w:cs="Arial"/>
                <w:sz w:val="14"/>
                <w:szCs w:val="14"/>
              </w:rPr>
              <w:t>Hg</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Retire Arapahoe 3 by 2014; Cherokee 1 &amp; 2 by 2012, Cherokee 3 by 2017; Cameo 1 &amp; 2; Valmont 5 by 2018;  W N Clark 55 &amp; 59 by 2015</w:t>
            </w:r>
            <w:r w:rsidRPr="008B54F2">
              <w:rPr>
                <w:rFonts w:cs="Arial"/>
                <w:sz w:val="14"/>
                <w:szCs w:val="14"/>
              </w:rPr>
              <w:br/>
            </w:r>
            <w:r w:rsidRPr="008B54F2">
              <w:rPr>
                <w:rFonts w:cs="Arial"/>
                <w:sz w:val="14"/>
                <w:szCs w:val="14"/>
              </w:rPr>
              <w:br/>
              <w:t>Convert following units to natural gas: Arapahoe 4 by 2015; Cherokee 4 by 2018</w:t>
            </w:r>
            <w:r w:rsidRPr="008B54F2">
              <w:rPr>
                <w:rFonts w:cs="Arial"/>
                <w:sz w:val="14"/>
                <w:szCs w:val="14"/>
              </w:rPr>
              <w:br/>
            </w:r>
            <w:r w:rsidRPr="008B54F2">
              <w:rPr>
                <w:rFonts w:cs="Arial"/>
                <w:sz w:val="14"/>
                <w:szCs w:val="14"/>
              </w:rPr>
              <w:br/>
              <w:t>Install SCRs in Hayden 1 &amp; 2 by 2016; SCR + FGD in Pawnee 1 [already installed]</w:t>
            </w:r>
          </w:p>
        </w:tc>
        <w:tc>
          <w:tcPr>
            <w:tcW w:w="1350" w:type="dxa"/>
            <w:shd w:val="clear" w:color="000000" w:fill="FFFFFF"/>
            <w:noWrap/>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2010</w:t>
            </w:r>
          </w:p>
        </w:tc>
        <w:tc>
          <w:tcPr>
            <w:tcW w:w="3078" w:type="dxa"/>
            <w:shd w:val="clear" w:color="000000" w:fill="FFFFFF"/>
            <w:noWrap/>
            <w:vAlign w:val="center"/>
            <w:hideMark/>
          </w:tcPr>
          <w:p w:rsidR="00B20C6B" w:rsidRPr="008B54F2" w:rsidRDefault="00B20C6B" w:rsidP="00CD188D">
            <w:pPr>
              <w:spacing w:before="20" w:after="20"/>
              <w:rPr>
                <w:rFonts w:cs="Arial"/>
                <w:sz w:val="14"/>
                <w:szCs w:val="14"/>
              </w:rPr>
            </w:pPr>
            <w:r w:rsidRPr="008B54F2">
              <w:rPr>
                <w:rFonts w:cs="Arial"/>
                <w:sz w:val="14"/>
                <w:szCs w:val="14"/>
              </w:rPr>
              <w:t> </w:t>
            </w:r>
          </w:p>
        </w:tc>
      </w:tr>
      <w:tr w:rsidR="00B20C6B" w:rsidRPr="008B54F2" w:rsidTr="00CD188D">
        <w:trPr>
          <w:cantSplit/>
          <w:trHeight w:val="197"/>
        </w:trPr>
        <w:tc>
          <w:tcPr>
            <w:tcW w:w="1159" w:type="dxa"/>
            <w:vMerge/>
            <w:shd w:val="clear" w:color="000000" w:fill="FFFFFF"/>
            <w:vAlign w:val="center"/>
          </w:tcPr>
          <w:p w:rsidR="00B20C6B" w:rsidRPr="008B54F2" w:rsidRDefault="00B20C6B" w:rsidP="00CD188D">
            <w:pPr>
              <w:spacing w:before="20" w:after="20"/>
              <w:jc w:val="center"/>
              <w:rPr>
                <w:rFonts w:cs="Arial"/>
                <w:sz w:val="14"/>
                <w:szCs w:val="14"/>
              </w:rPr>
            </w:pPr>
          </w:p>
        </w:tc>
        <w:tc>
          <w:tcPr>
            <w:tcW w:w="1434" w:type="dxa"/>
            <w:shd w:val="clear" w:color="000000" w:fill="FFFFFF"/>
            <w:vAlign w:val="center"/>
          </w:tcPr>
          <w:p w:rsidR="00B20C6B" w:rsidRPr="008B54F2" w:rsidRDefault="00B20C6B" w:rsidP="00CD188D">
            <w:pPr>
              <w:spacing w:before="20" w:after="20"/>
              <w:jc w:val="center"/>
              <w:rPr>
                <w:rFonts w:cs="Arial"/>
                <w:sz w:val="14"/>
                <w:szCs w:val="14"/>
              </w:rPr>
            </w:pPr>
          </w:p>
        </w:tc>
        <w:tc>
          <w:tcPr>
            <w:tcW w:w="878" w:type="dxa"/>
            <w:shd w:val="clear" w:color="000000" w:fill="FFFFFF"/>
            <w:vAlign w:val="center"/>
          </w:tcPr>
          <w:p w:rsidR="00B20C6B" w:rsidRPr="008B54F2" w:rsidRDefault="00B20C6B"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tcPr>
          <w:p w:rsidR="00B20C6B" w:rsidRPr="008B54F2" w:rsidRDefault="00B20C6B" w:rsidP="00CD188D">
            <w:pPr>
              <w:spacing w:after="20"/>
              <w:rPr>
                <w:rFonts w:cs="Arial"/>
                <w:sz w:val="14"/>
                <w:szCs w:val="14"/>
              </w:rPr>
            </w:pPr>
            <w:r w:rsidRPr="008B54F2">
              <w:rPr>
                <w:rFonts w:cs="Arial"/>
                <w:sz w:val="14"/>
                <w:szCs w:val="14"/>
              </w:rPr>
              <w:t xml:space="preserve">Comanche Units 1, 2, and 3 together limit of 0.000013 lbs/MWh </w:t>
            </w:r>
          </w:p>
        </w:tc>
        <w:tc>
          <w:tcPr>
            <w:tcW w:w="1350" w:type="dxa"/>
            <w:shd w:val="clear" w:color="000000" w:fill="FFFFFF"/>
            <w:noWrap/>
            <w:vAlign w:val="center"/>
          </w:tcPr>
          <w:p w:rsidR="00B20C6B" w:rsidRPr="008B54F2" w:rsidRDefault="00B20C6B"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noWrap/>
            <w:vAlign w:val="center"/>
          </w:tcPr>
          <w:p w:rsidR="00B20C6B" w:rsidRPr="008B54F2" w:rsidRDefault="00B20C6B" w:rsidP="00CD188D">
            <w:pPr>
              <w:spacing w:before="20" w:after="20"/>
              <w:jc w:val="center"/>
              <w:rPr>
                <w:rFonts w:cs="Arial"/>
                <w:sz w:val="14"/>
                <w:szCs w:val="14"/>
              </w:rPr>
            </w:pPr>
          </w:p>
        </w:tc>
      </w:tr>
      <w:tr w:rsidR="00B20C6B" w:rsidRPr="008B54F2" w:rsidTr="00CD188D">
        <w:trPr>
          <w:cantSplit/>
        </w:trPr>
        <w:tc>
          <w:tcPr>
            <w:tcW w:w="1159" w:type="dxa"/>
            <w:vMerge/>
            <w:shd w:val="clear" w:color="000000" w:fill="FFFFFF"/>
            <w:vAlign w:val="center"/>
          </w:tcPr>
          <w:p w:rsidR="00B20C6B" w:rsidRPr="008B54F2" w:rsidRDefault="00B20C6B" w:rsidP="00CD188D">
            <w:pPr>
              <w:spacing w:before="20" w:after="20"/>
              <w:jc w:val="center"/>
              <w:rPr>
                <w:rFonts w:cs="Arial"/>
                <w:sz w:val="14"/>
                <w:szCs w:val="14"/>
              </w:rPr>
            </w:pPr>
          </w:p>
        </w:tc>
        <w:tc>
          <w:tcPr>
            <w:tcW w:w="1434" w:type="dxa"/>
            <w:shd w:val="clear" w:color="000000" w:fill="FFFFFF"/>
            <w:vAlign w:val="center"/>
          </w:tcPr>
          <w:p w:rsidR="00B20C6B" w:rsidRPr="008B54F2" w:rsidRDefault="00B20C6B" w:rsidP="00CD188D">
            <w:pPr>
              <w:spacing w:before="20" w:after="20"/>
              <w:jc w:val="center"/>
              <w:rPr>
                <w:rFonts w:cs="Arial"/>
                <w:sz w:val="14"/>
                <w:szCs w:val="14"/>
              </w:rPr>
            </w:pPr>
          </w:p>
        </w:tc>
        <w:tc>
          <w:tcPr>
            <w:tcW w:w="878" w:type="dxa"/>
            <w:shd w:val="clear" w:color="000000" w:fill="FFFFFF"/>
            <w:vAlign w:val="center"/>
          </w:tcPr>
          <w:p w:rsidR="00B20C6B" w:rsidRPr="008B54F2" w:rsidRDefault="00B20C6B" w:rsidP="00CD188D">
            <w:pPr>
              <w:spacing w:before="20" w:after="20"/>
              <w:jc w:val="center"/>
              <w:rPr>
                <w:rFonts w:cs="Arial"/>
                <w:sz w:val="14"/>
                <w:szCs w:val="14"/>
                <w:vertAlign w:val="subscript"/>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tcPr>
          <w:p w:rsidR="00B20C6B" w:rsidRPr="008B54F2" w:rsidRDefault="00B20C6B" w:rsidP="00CD188D">
            <w:pPr>
              <w:spacing w:before="20" w:after="20"/>
              <w:rPr>
                <w:rFonts w:cs="Arial"/>
                <w:sz w:val="14"/>
                <w:szCs w:val="14"/>
              </w:rPr>
            </w:pPr>
            <w:r w:rsidRPr="008B54F2">
              <w:rPr>
                <w:rFonts w:cs="Arial"/>
                <w:sz w:val="14"/>
                <w:szCs w:val="14"/>
              </w:rPr>
              <w:t>Craig  Station Unit 1 and Unit 3 NO</w:t>
            </w:r>
            <w:r w:rsidRPr="008B54F2">
              <w:rPr>
                <w:rFonts w:cs="Arial"/>
                <w:sz w:val="14"/>
                <w:szCs w:val="14"/>
                <w:vertAlign w:val="subscript"/>
              </w:rPr>
              <w:t xml:space="preserve">x </w:t>
            </w:r>
            <w:r w:rsidRPr="008B54F2">
              <w:rPr>
                <w:rFonts w:cs="Arial"/>
                <w:sz w:val="14"/>
                <w:szCs w:val="14"/>
              </w:rPr>
              <w:t>Limit 0.28lbs/MMBtu</w:t>
            </w:r>
          </w:p>
        </w:tc>
        <w:tc>
          <w:tcPr>
            <w:tcW w:w="1350" w:type="dxa"/>
            <w:shd w:val="clear" w:color="000000" w:fill="FFFFFF"/>
            <w:noWrap/>
            <w:vAlign w:val="center"/>
          </w:tcPr>
          <w:p w:rsidR="00B20C6B" w:rsidRPr="008B54F2" w:rsidRDefault="00B20C6B"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noWrap/>
            <w:vAlign w:val="center"/>
          </w:tcPr>
          <w:p w:rsidR="00B20C6B" w:rsidRPr="008B54F2" w:rsidRDefault="00B20C6B" w:rsidP="00CD188D">
            <w:pPr>
              <w:spacing w:before="20" w:after="20"/>
              <w:jc w:val="center"/>
              <w:rPr>
                <w:rFonts w:cs="Arial"/>
                <w:sz w:val="14"/>
                <w:szCs w:val="14"/>
              </w:rPr>
            </w:pPr>
          </w:p>
        </w:tc>
      </w:tr>
      <w:tr w:rsidR="00B20C6B" w:rsidRPr="008B54F2" w:rsidTr="00CD188D">
        <w:trPr>
          <w:cantSplit/>
        </w:trPr>
        <w:tc>
          <w:tcPr>
            <w:tcW w:w="1159" w:type="dxa"/>
            <w:vMerge/>
            <w:shd w:val="clear" w:color="000000" w:fill="FFFFFF"/>
            <w:vAlign w:val="center"/>
          </w:tcPr>
          <w:p w:rsidR="00B20C6B" w:rsidRPr="008B54F2" w:rsidRDefault="00B20C6B" w:rsidP="00CD188D">
            <w:pPr>
              <w:spacing w:before="20" w:after="20"/>
              <w:jc w:val="center"/>
              <w:rPr>
                <w:rFonts w:cs="Arial"/>
                <w:sz w:val="14"/>
                <w:szCs w:val="14"/>
              </w:rPr>
            </w:pPr>
          </w:p>
        </w:tc>
        <w:tc>
          <w:tcPr>
            <w:tcW w:w="1434" w:type="dxa"/>
            <w:shd w:val="clear" w:color="000000" w:fill="FFFFFF"/>
            <w:vAlign w:val="center"/>
          </w:tcPr>
          <w:p w:rsidR="00B20C6B" w:rsidRPr="008B54F2" w:rsidRDefault="00B20C6B" w:rsidP="00CD188D">
            <w:pPr>
              <w:spacing w:before="20" w:after="20"/>
              <w:jc w:val="center"/>
              <w:rPr>
                <w:rFonts w:cs="Arial"/>
                <w:sz w:val="14"/>
                <w:szCs w:val="14"/>
              </w:rPr>
            </w:pPr>
          </w:p>
        </w:tc>
        <w:tc>
          <w:tcPr>
            <w:tcW w:w="878" w:type="dxa"/>
            <w:shd w:val="clear" w:color="000000" w:fill="FFFFFF"/>
            <w:vAlign w:val="center"/>
          </w:tcPr>
          <w:p w:rsidR="00B20C6B" w:rsidRPr="008B54F2" w:rsidRDefault="00B20C6B" w:rsidP="00CD188D">
            <w:pPr>
              <w:spacing w:before="20" w:after="20"/>
              <w:jc w:val="center"/>
              <w:rPr>
                <w:rFonts w:cs="Arial"/>
                <w:sz w:val="14"/>
                <w:szCs w:val="14"/>
                <w:vertAlign w:val="subscript"/>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tcPr>
          <w:p w:rsidR="00B20C6B" w:rsidRPr="008B54F2" w:rsidRDefault="00B20C6B" w:rsidP="00CD188D">
            <w:pPr>
              <w:spacing w:before="20" w:after="20"/>
              <w:rPr>
                <w:rFonts w:cs="Arial"/>
                <w:sz w:val="14"/>
                <w:szCs w:val="14"/>
              </w:rPr>
            </w:pPr>
            <w:r w:rsidRPr="008B54F2">
              <w:rPr>
                <w:rFonts w:cs="Arial"/>
                <w:sz w:val="14"/>
                <w:szCs w:val="14"/>
              </w:rPr>
              <w:t>Craig  Station Unit 2 NO</w:t>
            </w:r>
            <w:r w:rsidRPr="008B54F2">
              <w:rPr>
                <w:rFonts w:cs="Arial"/>
                <w:sz w:val="14"/>
                <w:szCs w:val="14"/>
                <w:vertAlign w:val="subscript"/>
              </w:rPr>
              <w:t>x</w:t>
            </w:r>
            <w:r w:rsidRPr="008B54F2">
              <w:rPr>
                <w:rFonts w:cs="Arial"/>
                <w:sz w:val="14"/>
                <w:szCs w:val="14"/>
              </w:rPr>
              <w:t xml:space="preserve"> Limit 0.08 lbs/MMBtu</w:t>
            </w:r>
          </w:p>
        </w:tc>
        <w:tc>
          <w:tcPr>
            <w:tcW w:w="1350" w:type="dxa"/>
            <w:shd w:val="clear" w:color="000000" w:fill="FFFFFF"/>
            <w:noWrap/>
            <w:vAlign w:val="center"/>
          </w:tcPr>
          <w:p w:rsidR="00B20C6B" w:rsidRPr="008B54F2" w:rsidRDefault="00B20C6B"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noWrap/>
            <w:vAlign w:val="center"/>
          </w:tcPr>
          <w:p w:rsidR="00B20C6B" w:rsidRPr="008B54F2" w:rsidRDefault="00B20C6B" w:rsidP="00CD188D">
            <w:pPr>
              <w:spacing w:before="20" w:after="20"/>
              <w:jc w:val="center"/>
              <w:rPr>
                <w:rFonts w:cs="Arial"/>
                <w:sz w:val="14"/>
                <w:szCs w:val="14"/>
              </w:rPr>
            </w:pPr>
          </w:p>
        </w:tc>
      </w:tr>
      <w:tr w:rsidR="00B20C6B" w:rsidRPr="008B54F2" w:rsidTr="00CD188D">
        <w:trPr>
          <w:cantSplit/>
        </w:trPr>
        <w:tc>
          <w:tcPr>
            <w:tcW w:w="1159"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Connecticut</w:t>
            </w: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Executive Order 19 and Regulations of Connecticut State Agencies (RCSA) 22a-174-22</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0.15 lbs/MMBtu annual rate limit for all fossil units &gt; 15 MW (Non-ozone season only)</w:t>
            </w:r>
          </w:p>
        </w:tc>
        <w:tc>
          <w:tcPr>
            <w:tcW w:w="1350" w:type="dxa"/>
            <w:vMerge w:val="restart"/>
            <w:shd w:val="clear" w:color="000000" w:fill="FFFFFF"/>
            <w:noWrap/>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2003</w:t>
            </w:r>
          </w:p>
        </w:tc>
        <w:tc>
          <w:tcPr>
            <w:tcW w:w="3078" w:type="dxa"/>
            <w:vMerge w:val="restart"/>
            <w:shd w:val="clear" w:color="000000" w:fill="FFFFFF"/>
            <w:noWrap/>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 </w:t>
            </w: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Executive Order 19, RCSA 22a-198 &amp; Connecticut General Statues (CGS) 22a-198</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B20C6B" w:rsidRDefault="00B20C6B" w:rsidP="00CD188D">
            <w:pPr>
              <w:spacing w:before="20" w:after="20"/>
              <w:rPr>
                <w:rFonts w:cs="Arial"/>
                <w:sz w:val="14"/>
                <w:szCs w:val="14"/>
              </w:rPr>
            </w:pPr>
          </w:p>
          <w:p w:rsidR="00C940CA" w:rsidRPr="00C940CA" w:rsidRDefault="00C940CA" w:rsidP="00C940CA">
            <w:pPr>
              <w:spacing w:before="20" w:after="20"/>
              <w:rPr>
                <w:rFonts w:cs="Arial"/>
                <w:sz w:val="14"/>
                <w:szCs w:val="14"/>
              </w:rPr>
            </w:pPr>
          </w:p>
          <w:p w:rsidR="00C940CA" w:rsidRPr="00C940CA" w:rsidRDefault="00C940CA" w:rsidP="00C940CA">
            <w:pPr>
              <w:spacing w:before="20" w:after="20"/>
              <w:rPr>
                <w:rFonts w:cs="Arial"/>
                <w:sz w:val="14"/>
                <w:szCs w:val="14"/>
              </w:rPr>
            </w:pPr>
            <w:r w:rsidRPr="00C940CA">
              <w:rPr>
                <w:rFonts w:cs="Arial"/>
                <w:sz w:val="14"/>
                <w:szCs w:val="14"/>
              </w:rPr>
              <w:t>Combust fuel with a sulfur content &lt; 3000 ppm; or</w:t>
            </w:r>
          </w:p>
          <w:p w:rsidR="00C940CA" w:rsidRPr="00C940CA" w:rsidRDefault="00C940CA" w:rsidP="00C940CA">
            <w:pPr>
              <w:spacing w:before="20" w:after="20"/>
              <w:rPr>
                <w:rFonts w:cs="Arial"/>
                <w:sz w:val="14"/>
                <w:szCs w:val="14"/>
              </w:rPr>
            </w:pPr>
            <w:r w:rsidRPr="00C940CA">
              <w:rPr>
                <w:rFonts w:cs="Arial"/>
                <w:sz w:val="14"/>
                <w:szCs w:val="14"/>
              </w:rPr>
              <w:t>Meet an average emission rate of &lt; 0.33 lb SO</w:t>
            </w:r>
            <w:r w:rsidRPr="0030664E">
              <w:rPr>
                <w:rFonts w:cs="Arial"/>
                <w:sz w:val="14"/>
                <w:szCs w:val="14"/>
                <w:vertAlign w:val="subscript"/>
              </w:rPr>
              <w:t>2</w:t>
            </w:r>
            <w:r w:rsidRPr="00C940CA">
              <w:rPr>
                <w:rFonts w:cs="Arial"/>
                <w:sz w:val="14"/>
                <w:szCs w:val="14"/>
              </w:rPr>
              <w:t>/MMBtu for each calendar quarter; or</w:t>
            </w:r>
          </w:p>
          <w:p w:rsidR="00C940CA" w:rsidRPr="008B54F2" w:rsidRDefault="00C940CA" w:rsidP="00C940CA">
            <w:pPr>
              <w:spacing w:before="20" w:after="20"/>
              <w:rPr>
                <w:rFonts w:cs="Arial"/>
                <w:sz w:val="14"/>
                <w:szCs w:val="14"/>
              </w:rPr>
            </w:pPr>
            <w:r w:rsidRPr="00C940CA">
              <w:rPr>
                <w:rFonts w:cs="Arial"/>
                <w:sz w:val="14"/>
                <w:szCs w:val="14"/>
              </w:rPr>
              <w:t>Meet an average emission rate of &lt; 0.3 lb SO</w:t>
            </w:r>
            <w:r w:rsidRPr="0030664E">
              <w:rPr>
                <w:rFonts w:cs="Arial"/>
                <w:sz w:val="14"/>
                <w:szCs w:val="14"/>
                <w:vertAlign w:val="subscript"/>
              </w:rPr>
              <w:t>2</w:t>
            </w:r>
            <w:r w:rsidRPr="00C940CA">
              <w:rPr>
                <w:rFonts w:cs="Arial"/>
                <w:sz w:val="14"/>
                <w:szCs w:val="14"/>
              </w:rPr>
              <w:t>/MMBtu for each calendar quarter if averaging the emissions from two or more units at a premises</w:t>
            </w:r>
          </w:p>
        </w:tc>
        <w:tc>
          <w:tcPr>
            <w:tcW w:w="1350" w:type="dxa"/>
            <w:vMerge/>
            <w:vAlign w:val="center"/>
            <w:hideMark/>
          </w:tcPr>
          <w:p w:rsidR="00B20C6B" w:rsidRPr="008B54F2" w:rsidRDefault="00B20C6B" w:rsidP="00CD188D">
            <w:pPr>
              <w:spacing w:before="20" w:after="20"/>
              <w:rPr>
                <w:rFonts w:cs="Arial"/>
                <w:sz w:val="14"/>
                <w:szCs w:val="14"/>
              </w:rPr>
            </w:pPr>
          </w:p>
        </w:tc>
        <w:tc>
          <w:tcPr>
            <w:tcW w:w="3078" w:type="dxa"/>
            <w:vMerge/>
            <w:vAlign w:val="center"/>
            <w:hideMark/>
          </w:tcPr>
          <w:p w:rsidR="00B20C6B" w:rsidRPr="008B54F2" w:rsidRDefault="00B20C6B" w:rsidP="00CD188D">
            <w:pPr>
              <w:spacing w:before="20" w:after="20"/>
              <w:rPr>
                <w:rFonts w:cs="Arial"/>
                <w:sz w:val="14"/>
                <w:szCs w:val="14"/>
              </w:rPr>
            </w:pP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 xml:space="preserve">CGS section 22a-199 </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B20C6B" w:rsidRPr="008B54F2" w:rsidRDefault="00B20C6B" w:rsidP="00C940CA">
            <w:pPr>
              <w:spacing w:before="20" w:after="20"/>
              <w:rPr>
                <w:rFonts w:cs="Arial"/>
                <w:sz w:val="14"/>
                <w:szCs w:val="14"/>
              </w:rPr>
            </w:pPr>
            <w:r w:rsidRPr="008B54F2">
              <w:rPr>
                <w:rFonts w:cs="Arial"/>
                <w:sz w:val="14"/>
                <w:szCs w:val="14"/>
              </w:rPr>
              <w:t xml:space="preserve">90% removal of Hg content of fuel or </w:t>
            </w:r>
            <w:r w:rsidR="00C940CA" w:rsidRPr="00C940CA">
              <w:rPr>
                <w:rFonts w:cs="Arial"/>
                <w:sz w:val="14"/>
                <w:szCs w:val="14"/>
              </w:rPr>
              <w:t>0.6 lbs/TBtu</w:t>
            </w:r>
            <w:r w:rsidR="00C940CA">
              <w:rPr>
                <w:rFonts w:cs="Arial"/>
                <w:sz w:val="14"/>
                <w:szCs w:val="14"/>
              </w:rPr>
              <w:t xml:space="preserve"> </w:t>
            </w:r>
            <w:r w:rsidRPr="008B54F2">
              <w:rPr>
                <w:rFonts w:cs="Arial"/>
                <w:sz w:val="14"/>
                <w:szCs w:val="14"/>
              </w:rPr>
              <w:t>annual reduction for all coal-fired units</w:t>
            </w:r>
          </w:p>
        </w:tc>
        <w:tc>
          <w:tcPr>
            <w:tcW w:w="1350" w:type="dxa"/>
            <w:shd w:val="clear" w:color="000000" w:fill="FFFFFF"/>
            <w:noWrap/>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2008</w:t>
            </w:r>
          </w:p>
        </w:tc>
        <w:tc>
          <w:tcPr>
            <w:tcW w:w="3078" w:type="dxa"/>
            <w:shd w:val="clear" w:color="000000" w:fill="FFFFFF"/>
            <w:noWrap/>
            <w:vAlign w:val="center"/>
            <w:hideMark/>
          </w:tcPr>
          <w:p w:rsidR="00B20C6B" w:rsidRPr="008B54F2" w:rsidRDefault="00B20C6B" w:rsidP="00CD188D">
            <w:pPr>
              <w:spacing w:before="20" w:after="20"/>
              <w:rPr>
                <w:rFonts w:cs="Arial"/>
                <w:sz w:val="14"/>
                <w:szCs w:val="14"/>
              </w:rPr>
            </w:pPr>
            <w:r w:rsidRPr="008B54F2">
              <w:rPr>
                <w:rFonts w:cs="Arial"/>
                <w:sz w:val="14"/>
                <w:szCs w:val="14"/>
              </w:rPr>
              <w:t> </w:t>
            </w:r>
          </w:p>
        </w:tc>
      </w:tr>
      <w:tr w:rsidR="00B20C6B" w:rsidRPr="008B54F2" w:rsidTr="00CD188D">
        <w:trPr>
          <w:cantSplit/>
        </w:trPr>
        <w:tc>
          <w:tcPr>
            <w:tcW w:w="1159"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lastRenderedPageBreak/>
              <w:t>Delaware</w:t>
            </w: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Regulation 1148: Control of Stationary Combustion Turbine EGU Emissions</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0.19 lbs/MMBtu ozone season PPMDV for stationary, liquid fuel fired CT EGUs &gt;1 MW</w:t>
            </w:r>
            <w:r w:rsidRPr="008B54F2">
              <w:rPr>
                <w:rFonts w:cs="Arial"/>
                <w:sz w:val="14"/>
                <w:szCs w:val="14"/>
              </w:rPr>
              <w:br/>
              <w:t>0.39 lbs/MMBtu ozone season PPMDV for stationary, gas fuel fired CT EGUs &gt;1 MW</w:t>
            </w:r>
          </w:p>
        </w:tc>
        <w:tc>
          <w:tcPr>
            <w:tcW w:w="1350" w:type="dxa"/>
            <w:shd w:val="clear" w:color="000000" w:fill="FFFFFF"/>
            <w:noWrap/>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2009</w:t>
            </w:r>
          </w:p>
        </w:tc>
        <w:tc>
          <w:tcPr>
            <w:tcW w:w="3078" w:type="dxa"/>
            <w:shd w:val="clear" w:color="000000" w:fill="FFFFFF"/>
            <w:noWrap/>
            <w:vAlign w:val="center"/>
            <w:hideMark/>
          </w:tcPr>
          <w:p w:rsidR="00B20C6B" w:rsidRPr="008B54F2" w:rsidRDefault="00B20C6B" w:rsidP="00CD188D">
            <w:pPr>
              <w:spacing w:before="20" w:after="20"/>
              <w:rPr>
                <w:rFonts w:cs="Arial"/>
                <w:sz w:val="14"/>
                <w:szCs w:val="14"/>
              </w:rPr>
            </w:pPr>
            <w:r w:rsidRPr="008B54F2">
              <w:rPr>
                <w:rFonts w:cs="Arial"/>
                <w:sz w:val="14"/>
                <w:szCs w:val="14"/>
              </w:rPr>
              <w:t> </w:t>
            </w: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Regulation No. 1146: Electric Generating Unit (EGU) Multi-Pollutant Regulation</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0.125 lbs/MMBtu rate limit of NO</w:t>
            </w:r>
            <w:r w:rsidRPr="008B54F2">
              <w:rPr>
                <w:rFonts w:cs="Arial"/>
                <w:sz w:val="14"/>
                <w:szCs w:val="14"/>
                <w:vertAlign w:val="subscript"/>
              </w:rPr>
              <w:t xml:space="preserve">x </w:t>
            </w:r>
            <w:r w:rsidRPr="008B54F2">
              <w:rPr>
                <w:rFonts w:cs="Arial"/>
                <w:sz w:val="14"/>
                <w:szCs w:val="14"/>
              </w:rPr>
              <w:t>annually for all coal and residual-oil fired units &gt; 25 MW</w:t>
            </w:r>
          </w:p>
        </w:tc>
        <w:tc>
          <w:tcPr>
            <w:tcW w:w="1350" w:type="dxa"/>
            <w:vMerge w:val="restart"/>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2009</w:t>
            </w:r>
          </w:p>
        </w:tc>
        <w:tc>
          <w:tcPr>
            <w:tcW w:w="3078" w:type="dxa"/>
            <w:vMerge w:val="restart"/>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The following units have specific NO</w:t>
            </w:r>
            <w:r w:rsidRPr="008B54F2">
              <w:rPr>
                <w:rFonts w:cs="Arial"/>
                <w:sz w:val="14"/>
                <w:szCs w:val="14"/>
                <w:vertAlign w:val="subscript"/>
              </w:rPr>
              <w:t>x</w:t>
            </w:r>
            <w:r w:rsidRPr="008B54F2">
              <w:rPr>
                <w:rFonts w:cs="Arial"/>
                <w:sz w:val="14"/>
                <w:szCs w:val="14"/>
              </w:rPr>
              <w:t>, SO</w:t>
            </w:r>
            <w:r w:rsidRPr="008B54F2">
              <w:rPr>
                <w:rFonts w:cs="Arial"/>
                <w:sz w:val="14"/>
                <w:szCs w:val="14"/>
                <w:vertAlign w:val="subscript"/>
              </w:rPr>
              <w:t>2</w:t>
            </w:r>
            <w:r w:rsidRPr="008B54F2">
              <w:rPr>
                <w:rFonts w:cs="Arial"/>
                <w:sz w:val="14"/>
                <w:szCs w:val="14"/>
              </w:rPr>
              <w:t>, and Hg annual caps in MTons:</w:t>
            </w:r>
            <w:r w:rsidRPr="008B54F2">
              <w:rPr>
                <w:rFonts w:cs="Arial"/>
                <w:sz w:val="14"/>
                <w:szCs w:val="14"/>
              </w:rPr>
              <w:br/>
              <w:t>Edge Moor 3: 0.773 NO</w:t>
            </w:r>
            <w:r w:rsidRPr="008B54F2">
              <w:rPr>
                <w:rFonts w:cs="Arial"/>
                <w:sz w:val="14"/>
                <w:szCs w:val="14"/>
                <w:vertAlign w:val="subscript"/>
              </w:rPr>
              <w:t>x</w:t>
            </w:r>
            <w:r w:rsidRPr="008B54F2">
              <w:rPr>
                <w:rFonts w:cs="Arial"/>
                <w:sz w:val="14"/>
                <w:szCs w:val="14"/>
              </w:rPr>
              <w:t>, 1.391 SO</w:t>
            </w:r>
            <w:r w:rsidRPr="008B54F2">
              <w:rPr>
                <w:rFonts w:cs="Arial"/>
                <w:sz w:val="14"/>
                <w:szCs w:val="14"/>
                <w:vertAlign w:val="subscript"/>
              </w:rPr>
              <w:t>2</w:t>
            </w:r>
            <w:r w:rsidRPr="008B54F2">
              <w:rPr>
                <w:rFonts w:cs="Arial"/>
                <w:sz w:val="14"/>
                <w:szCs w:val="14"/>
              </w:rPr>
              <w:t xml:space="preserve">, &amp; 2012: 0.0000083 Hg, 2013 onwards: 0.0000033 Hg </w:t>
            </w:r>
            <w:r w:rsidRPr="008B54F2">
              <w:rPr>
                <w:rFonts w:cs="Arial"/>
                <w:sz w:val="14"/>
                <w:szCs w:val="14"/>
              </w:rPr>
              <w:br/>
              <w:t>Edge Moor 4: 1.339 NO</w:t>
            </w:r>
            <w:r w:rsidRPr="008B54F2">
              <w:rPr>
                <w:rFonts w:cs="Arial"/>
                <w:sz w:val="14"/>
                <w:szCs w:val="14"/>
                <w:vertAlign w:val="subscript"/>
              </w:rPr>
              <w:t>x</w:t>
            </w:r>
            <w:r w:rsidRPr="008B54F2">
              <w:rPr>
                <w:rFonts w:cs="Arial"/>
                <w:sz w:val="14"/>
                <w:szCs w:val="14"/>
              </w:rPr>
              <w:t>, 2.41 SO</w:t>
            </w:r>
            <w:r w:rsidRPr="008B54F2">
              <w:rPr>
                <w:rFonts w:cs="Arial"/>
                <w:sz w:val="14"/>
                <w:szCs w:val="14"/>
                <w:vertAlign w:val="subscript"/>
              </w:rPr>
              <w:t>2</w:t>
            </w:r>
            <w:r w:rsidRPr="008B54F2">
              <w:rPr>
                <w:rFonts w:cs="Arial"/>
                <w:sz w:val="14"/>
                <w:szCs w:val="14"/>
              </w:rPr>
              <w:t>, &amp; 2012: 0.0000144 Hg, 2013 onwards: 0.0000057 Hg</w:t>
            </w:r>
            <w:r w:rsidRPr="008B54F2">
              <w:rPr>
                <w:rFonts w:cs="Arial"/>
                <w:sz w:val="14"/>
                <w:szCs w:val="14"/>
              </w:rPr>
              <w:br/>
              <w:t>Edge More 5: 1.348 NO</w:t>
            </w:r>
            <w:r w:rsidRPr="008B54F2">
              <w:rPr>
                <w:rFonts w:cs="Arial"/>
                <w:sz w:val="14"/>
                <w:szCs w:val="14"/>
                <w:vertAlign w:val="subscript"/>
              </w:rPr>
              <w:t>x</w:t>
            </w:r>
            <w:r w:rsidRPr="008B54F2">
              <w:rPr>
                <w:rFonts w:cs="Arial"/>
                <w:sz w:val="14"/>
                <w:szCs w:val="14"/>
              </w:rPr>
              <w:t xml:space="preserve"> &amp; 2.427 SO</w:t>
            </w:r>
            <w:r w:rsidRPr="008B54F2">
              <w:rPr>
                <w:rFonts w:cs="Arial"/>
                <w:sz w:val="14"/>
                <w:szCs w:val="14"/>
                <w:vertAlign w:val="subscript"/>
              </w:rPr>
              <w:t>2</w:t>
            </w:r>
            <w:r w:rsidRPr="008B54F2">
              <w:rPr>
                <w:rFonts w:cs="Arial"/>
                <w:sz w:val="14"/>
                <w:szCs w:val="14"/>
              </w:rPr>
              <w:br/>
              <w:t>Indian River 3: 0.977 NO</w:t>
            </w:r>
            <w:r w:rsidRPr="008B54F2">
              <w:rPr>
                <w:rFonts w:cs="Arial"/>
                <w:sz w:val="14"/>
                <w:szCs w:val="14"/>
                <w:vertAlign w:val="subscript"/>
              </w:rPr>
              <w:t>x</w:t>
            </w:r>
            <w:r w:rsidRPr="008B54F2">
              <w:rPr>
                <w:rFonts w:cs="Arial"/>
                <w:sz w:val="14"/>
                <w:szCs w:val="14"/>
              </w:rPr>
              <w:t>, 1.759 SO</w:t>
            </w:r>
            <w:r w:rsidRPr="008B54F2">
              <w:rPr>
                <w:rFonts w:cs="Arial"/>
                <w:sz w:val="14"/>
                <w:szCs w:val="14"/>
                <w:vertAlign w:val="subscript"/>
              </w:rPr>
              <w:t>2</w:t>
            </w:r>
            <w:r w:rsidRPr="008B54F2">
              <w:rPr>
                <w:rFonts w:cs="Arial"/>
                <w:sz w:val="14"/>
                <w:szCs w:val="14"/>
              </w:rPr>
              <w:t>, &amp; 2012: 0.0000105 Hg, 2013 onwards: 0.0000042 Hg</w:t>
            </w:r>
            <w:r w:rsidRPr="008B54F2">
              <w:rPr>
                <w:rFonts w:cs="Arial"/>
                <w:sz w:val="14"/>
                <w:szCs w:val="14"/>
              </w:rPr>
              <w:br/>
              <w:t>Indian River 4: 2.032 NO</w:t>
            </w:r>
            <w:r w:rsidRPr="008B54F2">
              <w:rPr>
                <w:rFonts w:cs="Arial"/>
                <w:sz w:val="14"/>
                <w:szCs w:val="14"/>
                <w:vertAlign w:val="subscript"/>
              </w:rPr>
              <w:t>x</w:t>
            </w:r>
            <w:r w:rsidRPr="008B54F2">
              <w:rPr>
                <w:rFonts w:cs="Arial"/>
                <w:sz w:val="14"/>
                <w:szCs w:val="14"/>
              </w:rPr>
              <w:t>, 3.657 SO</w:t>
            </w:r>
            <w:r w:rsidRPr="008B54F2">
              <w:rPr>
                <w:rFonts w:cs="Arial"/>
                <w:sz w:val="14"/>
                <w:szCs w:val="14"/>
                <w:vertAlign w:val="subscript"/>
              </w:rPr>
              <w:t>2</w:t>
            </w:r>
            <w:r w:rsidRPr="008B54F2">
              <w:rPr>
                <w:rFonts w:cs="Arial"/>
                <w:sz w:val="14"/>
                <w:szCs w:val="14"/>
              </w:rPr>
              <w:t>, &amp; 2012: 0.0000219 Hg, 2013 onwards: 0.0000087 Hg</w:t>
            </w:r>
            <w:r w:rsidRPr="008B54F2">
              <w:rPr>
                <w:rFonts w:cs="Arial"/>
                <w:sz w:val="14"/>
                <w:szCs w:val="14"/>
              </w:rPr>
              <w:br/>
              <w:t>McKee Run 3 0.244 NO</w:t>
            </w:r>
            <w:r w:rsidRPr="008B54F2">
              <w:rPr>
                <w:rFonts w:cs="Arial"/>
                <w:sz w:val="14"/>
                <w:szCs w:val="14"/>
                <w:vertAlign w:val="subscript"/>
              </w:rPr>
              <w:t>x</w:t>
            </w:r>
            <w:r w:rsidRPr="008B54F2">
              <w:rPr>
                <w:rFonts w:cs="Arial"/>
                <w:sz w:val="14"/>
                <w:szCs w:val="14"/>
              </w:rPr>
              <w:t xml:space="preserve"> &amp; 0.439 SO</w:t>
            </w:r>
            <w:r w:rsidRPr="008B54F2">
              <w:rPr>
                <w:rFonts w:cs="Arial"/>
                <w:sz w:val="14"/>
                <w:szCs w:val="14"/>
                <w:vertAlign w:val="subscript"/>
              </w:rPr>
              <w:t>2</w:t>
            </w: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vMerge/>
            <w:vAlign w:val="center"/>
            <w:hideMark/>
          </w:tcPr>
          <w:p w:rsidR="00B20C6B" w:rsidRPr="008B54F2" w:rsidRDefault="00B20C6B" w:rsidP="00CD188D">
            <w:pPr>
              <w:spacing w:before="20" w:after="20"/>
              <w:rPr>
                <w:rFonts w:cs="Arial"/>
                <w:sz w:val="14"/>
                <w:szCs w:val="14"/>
              </w:rPr>
            </w:pP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0.26 lbs/MMBtu annual rate limit for coal and residual-oil fired units &gt; 25 MW</w:t>
            </w:r>
          </w:p>
        </w:tc>
        <w:tc>
          <w:tcPr>
            <w:tcW w:w="1350" w:type="dxa"/>
            <w:vMerge/>
            <w:vAlign w:val="center"/>
            <w:hideMark/>
          </w:tcPr>
          <w:p w:rsidR="00B20C6B" w:rsidRPr="008B54F2" w:rsidRDefault="00B20C6B" w:rsidP="00CD188D">
            <w:pPr>
              <w:spacing w:before="20" w:after="20"/>
              <w:rPr>
                <w:rFonts w:cs="Arial"/>
                <w:sz w:val="14"/>
                <w:szCs w:val="14"/>
              </w:rPr>
            </w:pPr>
          </w:p>
        </w:tc>
        <w:tc>
          <w:tcPr>
            <w:tcW w:w="3078" w:type="dxa"/>
            <w:vMerge/>
            <w:vAlign w:val="center"/>
            <w:hideMark/>
          </w:tcPr>
          <w:p w:rsidR="00B20C6B" w:rsidRPr="008B54F2" w:rsidRDefault="00B20C6B" w:rsidP="00CD188D">
            <w:pPr>
              <w:spacing w:before="20" w:after="20"/>
              <w:rPr>
                <w:rFonts w:cs="Arial"/>
                <w:sz w:val="14"/>
                <w:szCs w:val="14"/>
              </w:rPr>
            </w:pP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vMerge/>
            <w:vAlign w:val="center"/>
            <w:hideMark/>
          </w:tcPr>
          <w:p w:rsidR="00B20C6B" w:rsidRPr="008B54F2" w:rsidRDefault="00B20C6B" w:rsidP="00CD188D">
            <w:pPr>
              <w:spacing w:before="20" w:after="20"/>
              <w:rPr>
                <w:rFonts w:cs="Arial"/>
                <w:sz w:val="14"/>
                <w:szCs w:val="14"/>
              </w:rPr>
            </w:pP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2012: 80% removal of Hg content of fuel or 0.0174 lbs/GWh annual reduction for all coal units &gt; 25 MW</w:t>
            </w:r>
            <w:r w:rsidRPr="008B54F2">
              <w:rPr>
                <w:rFonts w:cs="Arial"/>
                <w:sz w:val="14"/>
                <w:szCs w:val="14"/>
              </w:rPr>
              <w:br/>
              <w:t>2013 onwards: 90% removal of Hg content of fuel or 0.0087 lbs/GWh annual reduction for all coal units &gt; 25 MW</w:t>
            </w:r>
          </w:p>
        </w:tc>
        <w:tc>
          <w:tcPr>
            <w:tcW w:w="1350"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2012</w:t>
            </w:r>
          </w:p>
        </w:tc>
        <w:tc>
          <w:tcPr>
            <w:tcW w:w="3078" w:type="dxa"/>
            <w:vMerge/>
            <w:vAlign w:val="center"/>
            <w:hideMark/>
          </w:tcPr>
          <w:p w:rsidR="00B20C6B" w:rsidRPr="008B54F2" w:rsidRDefault="00B20C6B" w:rsidP="00CD188D">
            <w:pPr>
              <w:spacing w:before="20" w:after="20"/>
              <w:rPr>
                <w:rFonts w:cs="Arial"/>
                <w:sz w:val="14"/>
                <w:szCs w:val="14"/>
              </w:rPr>
            </w:pPr>
          </w:p>
        </w:tc>
      </w:tr>
      <w:tr w:rsidR="00B20C6B" w:rsidRPr="008B54F2" w:rsidTr="00CD188D">
        <w:trPr>
          <w:cantSplit/>
        </w:trPr>
        <w:tc>
          <w:tcPr>
            <w:tcW w:w="1159" w:type="dxa"/>
            <w:vMerge/>
            <w:vAlign w:val="center"/>
            <w:hideMark/>
          </w:tcPr>
          <w:p w:rsidR="00B20C6B" w:rsidRPr="008B54F2" w:rsidRDefault="00B20C6B" w:rsidP="00CD188D">
            <w:pPr>
              <w:spacing w:before="20" w:after="20"/>
              <w:rPr>
                <w:rFonts w:cs="Arial"/>
                <w:sz w:val="14"/>
                <w:szCs w:val="14"/>
              </w:rPr>
            </w:pP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Regulation 1108: Distillate Fuel Oil rule</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Any relevant units are to use 0.3% sulfur distillate fuel oil</w:t>
            </w:r>
          </w:p>
        </w:tc>
        <w:tc>
          <w:tcPr>
            <w:tcW w:w="1350"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 </w:t>
            </w:r>
          </w:p>
        </w:tc>
        <w:tc>
          <w:tcPr>
            <w:tcW w:w="30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Fuel rule modeled through unit emission rates</w:t>
            </w:r>
          </w:p>
        </w:tc>
      </w:tr>
      <w:tr w:rsidR="00B20C6B" w:rsidRPr="008B54F2" w:rsidTr="00CD188D">
        <w:trPr>
          <w:cantSplit/>
        </w:trPr>
        <w:tc>
          <w:tcPr>
            <w:tcW w:w="1159"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Georgia</w:t>
            </w:r>
          </w:p>
        </w:tc>
        <w:tc>
          <w:tcPr>
            <w:tcW w:w="1434"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Multi-pollutant Control for Electric Utility Steam Generating Units</w:t>
            </w:r>
          </w:p>
        </w:tc>
        <w:tc>
          <w:tcPr>
            <w:tcW w:w="878"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SCR, FGD, and Sorbent Injection Baghouse controls to be installed</w:t>
            </w:r>
          </w:p>
        </w:tc>
        <w:tc>
          <w:tcPr>
            <w:tcW w:w="5277"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The following plants must install controls: Bowen, Branch, Hammond, McDonough, Scherer, Wansley, and Yates</w:t>
            </w:r>
          </w:p>
        </w:tc>
        <w:tc>
          <w:tcPr>
            <w:tcW w:w="1350" w:type="dxa"/>
            <w:shd w:val="clear" w:color="000000" w:fill="FFFFFF"/>
            <w:vAlign w:val="center"/>
            <w:hideMark/>
          </w:tcPr>
          <w:p w:rsidR="00B20C6B" w:rsidRPr="008B54F2" w:rsidRDefault="00B20C6B" w:rsidP="00CD188D">
            <w:pPr>
              <w:spacing w:before="20" w:after="20"/>
              <w:jc w:val="center"/>
              <w:rPr>
                <w:rFonts w:cs="Arial"/>
                <w:sz w:val="14"/>
                <w:szCs w:val="14"/>
              </w:rPr>
            </w:pPr>
            <w:r w:rsidRPr="008B54F2">
              <w:rPr>
                <w:rFonts w:cs="Arial"/>
                <w:sz w:val="14"/>
                <w:szCs w:val="14"/>
              </w:rPr>
              <w:t>Implementation from 2008 through 2015, depending on plant and control type</w:t>
            </w:r>
          </w:p>
        </w:tc>
        <w:tc>
          <w:tcPr>
            <w:tcW w:w="3078" w:type="dxa"/>
            <w:shd w:val="clear" w:color="000000" w:fill="FFFFFF"/>
            <w:vAlign w:val="center"/>
            <w:hideMark/>
          </w:tcPr>
          <w:p w:rsidR="00B20C6B" w:rsidRPr="008B54F2" w:rsidRDefault="00B20C6B"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Illinois</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Title 35, Section 217.706</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0.25 lbs/MMBtu summer season rate limit for all fossil units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2003</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jc w:val="center"/>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Title 35, Part 225, Subpart B 225.230</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90% removal of Hg content of fuel; or a standard of </w:t>
            </w:r>
            <w:r w:rsidR="00BA5490">
              <w:rPr>
                <w:rFonts w:cs="Arial"/>
                <w:sz w:val="14"/>
                <w:szCs w:val="14"/>
              </w:rPr>
              <w:t>0</w:t>
            </w:r>
            <w:r w:rsidRPr="008B54F2">
              <w:rPr>
                <w:rFonts w:cs="Arial"/>
                <w:sz w:val="14"/>
                <w:szCs w:val="14"/>
              </w:rPr>
              <w:t>.0080 lb Hg/GWh for sources at or above 25 MW; If facility commenced operation on or before December 31, 2008, start date for implementation must be July 1, 2009</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2009</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xml:space="preserve">Not Ameren Specific </w:t>
            </w: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jc w:val="center"/>
              <w:rPr>
                <w:rFonts w:cs="Arial"/>
                <w:sz w:val="14"/>
                <w:szCs w:val="14"/>
              </w:rPr>
            </w:pP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Title 35 Part 225 Subpart B 225.233</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0.11 lbs/MMBtu annual rate limit </w:t>
            </w:r>
            <w:r w:rsidRPr="00C940CA">
              <w:rPr>
                <w:rFonts w:cs="Arial"/>
                <w:sz w:val="14"/>
                <w:szCs w:val="14"/>
              </w:rPr>
              <w:t>or a rate equivalent to 52% of base annual NOx emissions (whichever is more stringent)</w:t>
            </w:r>
            <w:r>
              <w:rPr>
                <w:rFonts w:cs="Arial"/>
                <w:sz w:val="14"/>
                <w:szCs w:val="14"/>
              </w:rPr>
              <w:t xml:space="preserve"> </w:t>
            </w:r>
            <w:r w:rsidRPr="008B54F2">
              <w:rPr>
                <w:rFonts w:cs="Arial"/>
                <w:sz w:val="14"/>
                <w:szCs w:val="14"/>
              </w:rPr>
              <w:t xml:space="preserve">and 0.11 lbs/MMBtu ozone season rate limit </w:t>
            </w:r>
            <w:r w:rsidRPr="00BA7DC3">
              <w:rPr>
                <w:rFonts w:cs="Arial"/>
                <w:sz w:val="14"/>
                <w:szCs w:val="14"/>
              </w:rPr>
              <w:t xml:space="preserve">or a rate equivalent to 80% of base ozone season NOx emissions (whichever is more stringent) </w:t>
            </w:r>
            <w:r w:rsidRPr="008B54F2">
              <w:rPr>
                <w:rFonts w:cs="Arial"/>
                <w:sz w:val="14"/>
                <w:szCs w:val="14"/>
              </w:rPr>
              <w:t>for all coal steam units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xml:space="preserve">Not Ameren Specific </w:t>
            </w: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2015 onwards: 0.25 lbs/MMBtu annual rate limit for all coal steam units &gt; 25 MW or a rate equivalent to 35% of the base SO</w:t>
            </w:r>
            <w:r w:rsidRPr="008B54F2">
              <w:rPr>
                <w:rFonts w:cs="Arial"/>
                <w:sz w:val="14"/>
                <w:szCs w:val="14"/>
                <w:vertAlign w:val="subscript"/>
              </w:rPr>
              <w:t>2</w:t>
            </w:r>
            <w:r w:rsidRPr="008B54F2">
              <w:rPr>
                <w:rFonts w:cs="Arial"/>
                <w:sz w:val="14"/>
                <w:szCs w:val="14"/>
              </w:rPr>
              <w:t xml:space="preserve"> emissions (whichever is more stringent)</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2015</w:t>
            </w: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90% removal of Hg content of fuel or 0.0</w:t>
            </w:r>
            <w:r>
              <w:rPr>
                <w:rFonts w:cs="Arial"/>
                <w:sz w:val="14"/>
                <w:szCs w:val="14"/>
              </w:rPr>
              <w:t>0</w:t>
            </w:r>
            <w:r w:rsidRPr="008B54F2">
              <w:rPr>
                <w:rFonts w:cs="Arial"/>
                <w:sz w:val="14"/>
                <w:szCs w:val="14"/>
              </w:rPr>
              <w:t>8 lbs/GWh annual reduction for all coal units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2015</w:t>
            </w: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Title 35 Part 225 Subpart B 225.233 (MPS Ameren specific)</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0.11 lbs/MMBtu annual rate limit and ozone season rate limit Ameren coal steam units &gt; 25 MW  </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Default="000B5BB0" w:rsidP="000B5BB0">
            <w:pPr>
              <w:spacing w:before="20" w:after="20"/>
              <w:rPr>
                <w:rFonts w:cs="Arial"/>
                <w:sz w:val="14"/>
                <w:szCs w:val="14"/>
              </w:rPr>
            </w:pPr>
            <w:r w:rsidRPr="008B54F2">
              <w:rPr>
                <w:rFonts w:cs="Arial"/>
                <w:sz w:val="14"/>
                <w:szCs w:val="14"/>
              </w:rPr>
              <w:t>2015 &amp; 2016 onwards: 0.</w:t>
            </w:r>
            <w:r>
              <w:rPr>
                <w:rFonts w:cs="Arial"/>
                <w:sz w:val="14"/>
                <w:szCs w:val="14"/>
              </w:rPr>
              <w:t>3</w:t>
            </w:r>
            <w:r w:rsidRPr="008B54F2">
              <w:rPr>
                <w:rFonts w:cs="Arial"/>
                <w:sz w:val="14"/>
                <w:szCs w:val="14"/>
              </w:rPr>
              <w:t xml:space="preserve">5 lbs/MMBtu annual rate limit for all  Ameren coal steam units &gt; 25 MW  </w:t>
            </w:r>
            <w:r w:rsidRPr="008B54F2">
              <w:rPr>
                <w:rFonts w:cs="Arial"/>
                <w:sz w:val="14"/>
                <w:szCs w:val="14"/>
              </w:rPr>
              <w:br/>
              <w:t>20</w:t>
            </w:r>
            <w:r>
              <w:rPr>
                <w:rFonts w:cs="Arial"/>
                <w:sz w:val="14"/>
                <w:szCs w:val="14"/>
              </w:rPr>
              <w:t>20</w:t>
            </w:r>
            <w:r w:rsidRPr="008B54F2">
              <w:rPr>
                <w:rFonts w:cs="Arial"/>
                <w:sz w:val="14"/>
                <w:szCs w:val="14"/>
              </w:rPr>
              <w:t xml:space="preserve"> onwards: 0.23 lbs/MMBtu annual rate limit for all Ameren coal steam units &gt; 25 MW</w:t>
            </w:r>
          </w:p>
          <w:p w:rsidR="000B5BB0" w:rsidRPr="008B54F2" w:rsidRDefault="000B5BB0" w:rsidP="000B5BB0">
            <w:pPr>
              <w:spacing w:before="20" w:after="20"/>
              <w:rPr>
                <w:rFonts w:cs="Arial"/>
                <w:sz w:val="14"/>
                <w:szCs w:val="14"/>
              </w:rPr>
            </w:pPr>
            <w:r w:rsidRPr="000B5BB0">
              <w:rPr>
                <w:rFonts w:cs="Arial"/>
                <w:sz w:val="14"/>
                <w:szCs w:val="14"/>
              </w:rPr>
              <w:t>System-wide mass emissions limit of 327,996 tons for 10/1/2013-12/31/2020</w:t>
            </w:r>
          </w:p>
        </w:tc>
        <w:tc>
          <w:tcPr>
            <w:tcW w:w="1350" w:type="dxa"/>
            <w:shd w:val="clear" w:color="000000" w:fill="FFFFFF"/>
            <w:vAlign w:val="center"/>
            <w:hideMark/>
          </w:tcPr>
          <w:p w:rsidR="000B5BB0" w:rsidRDefault="000B5BB0" w:rsidP="00CD188D">
            <w:pPr>
              <w:spacing w:before="20" w:after="20"/>
              <w:jc w:val="center"/>
              <w:rPr>
                <w:rFonts w:cs="Arial"/>
                <w:sz w:val="14"/>
                <w:szCs w:val="14"/>
              </w:rPr>
            </w:pPr>
            <w:r w:rsidRPr="008B54F2">
              <w:rPr>
                <w:rFonts w:cs="Arial"/>
                <w:sz w:val="14"/>
                <w:szCs w:val="14"/>
              </w:rPr>
              <w:t>2015</w:t>
            </w:r>
          </w:p>
          <w:p w:rsidR="000B5BB0" w:rsidRPr="008B54F2" w:rsidRDefault="000B5BB0" w:rsidP="00CD188D">
            <w:pPr>
              <w:spacing w:before="20" w:after="20"/>
              <w:jc w:val="center"/>
              <w:rPr>
                <w:rFonts w:cs="Arial"/>
                <w:sz w:val="14"/>
                <w:szCs w:val="14"/>
              </w:rPr>
            </w:pPr>
            <w:r w:rsidRPr="000B5BB0">
              <w:rPr>
                <w:rFonts w:cs="Arial"/>
                <w:sz w:val="14"/>
                <w:szCs w:val="14"/>
              </w:rPr>
              <w:t>(as modified by board orders 11/2013)</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Title 35 Part 225; Subpart F: Combined Pollutant Standards (REPEALED)</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0.11 lbs/MMBtu ozone season and annual rate limit for all specified Midwest Gen coal steam units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REPEALED</w:t>
            </w: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0.44 lbs/MMBtu annual rate limit in 2013, decreasing annually to 0.11 lbs/MMBtu in 2019 for all specified Midwest Gen coal steam units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2013</w:t>
            </w: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0B5BB0">
        <w:trPr>
          <w:cantSplit/>
        </w:trPr>
        <w:tc>
          <w:tcPr>
            <w:tcW w:w="1159" w:type="dxa"/>
            <w:vMerge/>
            <w:shd w:val="clear" w:color="000000" w:fill="FFFFFF"/>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90% removal of Hg content of fuel or 0.08 lbs/GWh annual reduction for all specified Midwest Gen coal steam units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2015</w:t>
            </w: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tcPr>
          <w:p w:rsidR="000B5BB0" w:rsidRPr="008B54F2" w:rsidRDefault="000B5BB0" w:rsidP="00CD188D">
            <w:pPr>
              <w:spacing w:before="20" w:after="20"/>
              <w:rPr>
                <w:rFonts w:cs="Arial"/>
                <w:sz w:val="14"/>
                <w:szCs w:val="14"/>
              </w:rPr>
            </w:pPr>
          </w:p>
        </w:tc>
        <w:tc>
          <w:tcPr>
            <w:tcW w:w="1434" w:type="dxa"/>
            <w:vMerge w:val="restart"/>
            <w:vAlign w:val="center"/>
          </w:tcPr>
          <w:p w:rsidR="000B5BB0" w:rsidRPr="008B54F2" w:rsidRDefault="000B5BB0" w:rsidP="00CD188D">
            <w:pPr>
              <w:spacing w:before="20" w:after="20"/>
              <w:rPr>
                <w:rFonts w:cs="Arial"/>
                <w:sz w:val="14"/>
                <w:szCs w:val="14"/>
              </w:rPr>
            </w:pPr>
            <w:r w:rsidRPr="000B5BB0">
              <w:rPr>
                <w:rFonts w:cs="Arial"/>
                <w:sz w:val="14"/>
                <w:szCs w:val="14"/>
              </w:rPr>
              <w:t>Title 35 Part 225 Subpart B 225.291-299 (Combined pollutant standard)</w:t>
            </w:r>
          </w:p>
        </w:tc>
        <w:tc>
          <w:tcPr>
            <w:tcW w:w="878" w:type="dxa"/>
            <w:shd w:val="clear" w:color="000000" w:fill="FFFFFF"/>
            <w:vAlign w:val="center"/>
          </w:tcPr>
          <w:p w:rsidR="000B5BB0" w:rsidRPr="008B54F2" w:rsidRDefault="000B5BB0" w:rsidP="00CD188D">
            <w:pPr>
              <w:spacing w:before="20" w:after="20"/>
              <w:jc w:val="center"/>
              <w:rPr>
                <w:rFonts w:cs="Arial"/>
                <w:sz w:val="14"/>
                <w:szCs w:val="14"/>
              </w:rPr>
            </w:pPr>
            <w:r w:rsidRPr="000B5BB0">
              <w:rPr>
                <w:rFonts w:cs="Arial"/>
                <w:sz w:val="14"/>
                <w:szCs w:val="14"/>
              </w:rPr>
              <w:t>NOx</w:t>
            </w:r>
          </w:p>
        </w:tc>
        <w:tc>
          <w:tcPr>
            <w:tcW w:w="5277" w:type="dxa"/>
            <w:shd w:val="clear" w:color="000000" w:fill="FFFFFF"/>
            <w:vAlign w:val="center"/>
          </w:tcPr>
          <w:p w:rsidR="000B5BB0" w:rsidRPr="008B54F2" w:rsidRDefault="000B5BB0" w:rsidP="00CD188D">
            <w:pPr>
              <w:spacing w:before="20" w:after="20"/>
              <w:rPr>
                <w:rFonts w:cs="Arial"/>
                <w:sz w:val="14"/>
                <w:szCs w:val="14"/>
              </w:rPr>
            </w:pPr>
            <w:r w:rsidRPr="000B5BB0">
              <w:rPr>
                <w:rFonts w:cs="Arial"/>
                <w:sz w:val="14"/>
                <w:szCs w:val="14"/>
              </w:rPr>
              <w:t>0.11 lbs/MMBtu group average annual and ozone season emission rates</w:t>
            </w:r>
          </w:p>
        </w:tc>
        <w:tc>
          <w:tcPr>
            <w:tcW w:w="1350" w:type="dxa"/>
            <w:shd w:val="clear" w:color="000000" w:fill="FFFFFF"/>
            <w:vAlign w:val="center"/>
          </w:tcPr>
          <w:p w:rsidR="000B5BB0" w:rsidRPr="008B54F2" w:rsidRDefault="000B5BB0" w:rsidP="00CD188D">
            <w:pPr>
              <w:spacing w:before="20" w:after="20"/>
              <w:jc w:val="center"/>
              <w:rPr>
                <w:rFonts w:cs="Arial"/>
                <w:sz w:val="14"/>
                <w:szCs w:val="14"/>
              </w:rPr>
            </w:pPr>
            <w:r>
              <w:rPr>
                <w:rFonts w:cs="Arial"/>
                <w:sz w:val="14"/>
                <w:szCs w:val="14"/>
              </w:rPr>
              <w:t>2012</w:t>
            </w:r>
          </w:p>
        </w:tc>
        <w:tc>
          <w:tcPr>
            <w:tcW w:w="3078" w:type="dxa"/>
            <w:vMerge w:val="restart"/>
            <w:vAlign w:val="center"/>
          </w:tcPr>
          <w:p w:rsidR="000B5BB0" w:rsidRPr="008B54F2" w:rsidRDefault="000B5BB0" w:rsidP="00CD188D">
            <w:pPr>
              <w:spacing w:before="20" w:after="20"/>
              <w:rPr>
                <w:rFonts w:cs="Arial"/>
                <w:sz w:val="14"/>
                <w:szCs w:val="14"/>
              </w:rPr>
            </w:pPr>
            <w:r w:rsidRPr="000B5BB0">
              <w:rPr>
                <w:rFonts w:cs="Arial"/>
                <w:sz w:val="14"/>
                <w:szCs w:val="14"/>
              </w:rPr>
              <w:t>Applies to Midwest Generation’s Coal-Fired Boilers as of 7/1/2006: Crawford (7 &amp; 8), Fisk (19), Joliet ( 6, 7 &amp; 8), Powerton (5 &amp; 6), Waukegan (6, 7 &amp; 8) and Will County (1, 2, 3 &amp; 4)</w:t>
            </w:r>
          </w:p>
        </w:tc>
      </w:tr>
      <w:tr w:rsidR="000B5BB0" w:rsidRPr="008B54F2" w:rsidTr="00CD188D">
        <w:trPr>
          <w:cantSplit/>
        </w:trPr>
        <w:tc>
          <w:tcPr>
            <w:tcW w:w="1159" w:type="dxa"/>
            <w:vMerge/>
            <w:vAlign w:val="center"/>
          </w:tcPr>
          <w:p w:rsidR="000B5BB0" w:rsidRPr="008B54F2" w:rsidRDefault="000B5BB0" w:rsidP="00CD188D">
            <w:pPr>
              <w:spacing w:before="20" w:after="20"/>
              <w:rPr>
                <w:rFonts w:cs="Arial"/>
                <w:sz w:val="14"/>
                <w:szCs w:val="14"/>
              </w:rPr>
            </w:pPr>
          </w:p>
        </w:tc>
        <w:tc>
          <w:tcPr>
            <w:tcW w:w="1434" w:type="dxa"/>
            <w:vMerge/>
            <w:vAlign w:val="center"/>
          </w:tcPr>
          <w:p w:rsidR="000B5BB0" w:rsidRPr="008B54F2" w:rsidRDefault="000B5BB0" w:rsidP="00CD188D">
            <w:pPr>
              <w:spacing w:before="20" w:after="20"/>
              <w:rPr>
                <w:rFonts w:cs="Arial"/>
                <w:sz w:val="14"/>
                <w:szCs w:val="14"/>
              </w:rPr>
            </w:pPr>
          </w:p>
        </w:tc>
        <w:tc>
          <w:tcPr>
            <w:tcW w:w="878"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tcPr>
          <w:p w:rsidR="000B5BB0" w:rsidRPr="000B5BB0" w:rsidRDefault="000B5BB0" w:rsidP="000B5BB0">
            <w:pPr>
              <w:spacing w:before="20" w:after="20"/>
              <w:rPr>
                <w:rFonts w:cs="Arial"/>
                <w:sz w:val="14"/>
                <w:szCs w:val="14"/>
              </w:rPr>
            </w:pPr>
            <w:r w:rsidRPr="000B5BB0">
              <w:rPr>
                <w:rFonts w:cs="Arial"/>
                <w:sz w:val="14"/>
                <w:szCs w:val="14"/>
              </w:rPr>
              <w:t>Group average annual emission rates of 0.44 lbs/MMBtu in 2013, 0.41 lbs/MMBtu in 2014, 0.38 lbs/MMBtu in 2015 and 2016, 0.15 lbs/MMBtu in 2017, 0.13 lbs/MMBtu in 2018 and  0.11 lbs/MMBtu in 2019 and after, and</w:t>
            </w:r>
          </w:p>
          <w:p w:rsidR="000B5BB0" w:rsidRPr="008B54F2" w:rsidRDefault="000B5BB0" w:rsidP="000B5BB0">
            <w:pPr>
              <w:spacing w:before="20" w:after="20"/>
              <w:rPr>
                <w:rFonts w:cs="Arial"/>
                <w:sz w:val="14"/>
                <w:szCs w:val="14"/>
              </w:rPr>
            </w:pPr>
            <w:r w:rsidRPr="000B5BB0">
              <w:rPr>
                <w:rFonts w:cs="Arial"/>
                <w:sz w:val="14"/>
                <w:szCs w:val="14"/>
              </w:rPr>
              <w:t>annual system-wide mass SO2 emissions limits of no more than 57,000 tons in 2013, 54,000 tons in 2014, 39,000 tons in 2015, and 37,000 tons in 2016</w:t>
            </w:r>
          </w:p>
        </w:tc>
        <w:tc>
          <w:tcPr>
            <w:tcW w:w="1350" w:type="dxa"/>
            <w:shd w:val="clear" w:color="000000" w:fill="FFFFFF"/>
            <w:vAlign w:val="center"/>
          </w:tcPr>
          <w:p w:rsidR="000B5BB0" w:rsidRPr="008B54F2" w:rsidRDefault="000B5BB0" w:rsidP="00CD188D">
            <w:pPr>
              <w:spacing w:before="20" w:after="20"/>
              <w:jc w:val="center"/>
              <w:rPr>
                <w:rFonts w:cs="Arial"/>
                <w:sz w:val="14"/>
                <w:szCs w:val="14"/>
              </w:rPr>
            </w:pPr>
            <w:r>
              <w:rPr>
                <w:rFonts w:cs="Arial"/>
                <w:sz w:val="14"/>
                <w:szCs w:val="14"/>
              </w:rPr>
              <w:t>2013</w:t>
            </w:r>
          </w:p>
        </w:tc>
        <w:tc>
          <w:tcPr>
            <w:tcW w:w="3078" w:type="dxa"/>
            <w:vMerge/>
            <w:vAlign w:val="center"/>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tcPr>
          <w:p w:rsidR="000B5BB0" w:rsidRPr="008B54F2" w:rsidRDefault="000B5BB0" w:rsidP="00CD188D">
            <w:pPr>
              <w:spacing w:before="20" w:after="20"/>
              <w:rPr>
                <w:rFonts w:cs="Arial"/>
                <w:sz w:val="14"/>
                <w:szCs w:val="14"/>
              </w:rPr>
            </w:pPr>
          </w:p>
        </w:tc>
        <w:tc>
          <w:tcPr>
            <w:tcW w:w="1434" w:type="dxa"/>
            <w:vMerge/>
            <w:vAlign w:val="center"/>
          </w:tcPr>
          <w:p w:rsidR="000B5BB0" w:rsidRPr="008B54F2" w:rsidRDefault="000B5BB0" w:rsidP="00CD188D">
            <w:pPr>
              <w:spacing w:before="20" w:after="20"/>
              <w:rPr>
                <w:rFonts w:cs="Arial"/>
                <w:sz w:val="14"/>
                <w:szCs w:val="14"/>
              </w:rPr>
            </w:pPr>
          </w:p>
        </w:tc>
        <w:tc>
          <w:tcPr>
            <w:tcW w:w="878"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tcPr>
          <w:p w:rsidR="000B5BB0" w:rsidRPr="008B54F2" w:rsidRDefault="000B5BB0" w:rsidP="00CD188D">
            <w:pPr>
              <w:spacing w:before="20" w:after="20"/>
              <w:rPr>
                <w:rFonts w:cs="Arial"/>
                <w:sz w:val="14"/>
                <w:szCs w:val="14"/>
              </w:rPr>
            </w:pPr>
            <w:r w:rsidRPr="000B5BB0">
              <w:rPr>
                <w:rFonts w:cs="Arial"/>
                <w:sz w:val="14"/>
                <w:szCs w:val="14"/>
              </w:rPr>
              <w:t>90% removal of Hg content of fuel or 0.0080 lbs/GWh, compliance determined on a rolling 12-month basis</w:t>
            </w:r>
          </w:p>
        </w:tc>
        <w:tc>
          <w:tcPr>
            <w:tcW w:w="1350" w:type="dxa"/>
            <w:shd w:val="clear" w:color="000000" w:fill="FFFFFF"/>
            <w:vAlign w:val="center"/>
          </w:tcPr>
          <w:p w:rsidR="000B5BB0" w:rsidRPr="008B54F2" w:rsidRDefault="000B5BB0" w:rsidP="00CD188D">
            <w:pPr>
              <w:spacing w:before="20" w:after="20"/>
              <w:jc w:val="center"/>
              <w:rPr>
                <w:rFonts w:cs="Arial"/>
                <w:sz w:val="14"/>
                <w:szCs w:val="14"/>
              </w:rPr>
            </w:pPr>
            <w:r>
              <w:rPr>
                <w:rFonts w:cs="Arial"/>
                <w:sz w:val="14"/>
                <w:szCs w:val="14"/>
              </w:rPr>
              <w:t>2015</w:t>
            </w:r>
          </w:p>
        </w:tc>
        <w:tc>
          <w:tcPr>
            <w:tcW w:w="3078" w:type="dxa"/>
            <w:vMerge/>
            <w:vAlign w:val="center"/>
          </w:tcPr>
          <w:p w:rsidR="000B5BB0" w:rsidRPr="008B54F2" w:rsidRDefault="000B5BB0" w:rsidP="00CD188D">
            <w:pPr>
              <w:spacing w:before="20" w:after="20"/>
              <w:rPr>
                <w:rFonts w:cs="Arial"/>
                <w:sz w:val="14"/>
                <w:szCs w:val="14"/>
              </w:rPr>
            </w:pPr>
          </w:p>
        </w:tc>
      </w:tr>
      <w:tr w:rsidR="00454E67" w:rsidRPr="008B54F2" w:rsidTr="00CD188D">
        <w:trPr>
          <w:cantSplit/>
        </w:trPr>
        <w:tc>
          <w:tcPr>
            <w:tcW w:w="1159" w:type="dxa"/>
            <w:vMerge w:val="restart"/>
            <w:shd w:val="clear" w:color="000000" w:fill="FFFFFF"/>
            <w:vAlign w:val="center"/>
          </w:tcPr>
          <w:p w:rsidR="00454E67" w:rsidRPr="008B54F2" w:rsidRDefault="00454E67" w:rsidP="00CD188D">
            <w:pPr>
              <w:spacing w:before="20" w:after="20"/>
              <w:jc w:val="center"/>
              <w:rPr>
                <w:rFonts w:cs="Arial"/>
                <w:sz w:val="14"/>
                <w:szCs w:val="14"/>
              </w:rPr>
            </w:pPr>
            <w:r>
              <w:rPr>
                <w:rFonts w:cs="Arial"/>
                <w:sz w:val="14"/>
                <w:szCs w:val="14"/>
              </w:rPr>
              <w:t>Indiana</w:t>
            </w:r>
          </w:p>
        </w:tc>
        <w:tc>
          <w:tcPr>
            <w:tcW w:w="1434" w:type="dxa"/>
            <w:shd w:val="clear" w:color="000000" w:fill="FFFFFF"/>
            <w:vAlign w:val="center"/>
          </w:tcPr>
          <w:p w:rsidR="00454E67" w:rsidRPr="008B54F2" w:rsidRDefault="00454E67" w:rsidP="00CD188D">
            <w:pPr>
              <w:spacing w:before="20" w:after="20"/>
              <w:jc w:val="center"/>
              <w:rPr>
                <w:rFonts w:cs="Arial"/>
                <w:sz w:val="14"/>
                <w:szCs w:val="14"/>
              </w:rPr>
            </w:pPr>
            <w:r w:rsidRPr="00077A5A">
              <w:rPr>
                <w:rFonts w:cs="Arial"/>
                <w:sz w:val="14"/>
                <w:szCs w:val="14"/>
              </w:rPr>
              <w:t>A.B. Brown Generating Station Consent Order dated 1/11/2016</w:t>
            </w:r>
          </w:p>
        </w:tc>
        <w:tc>
          <w:tcPr>
            <w:tcW w:w="878" w:type="dxa"/>
            <w:shd w:val="clear" w:color="000000" w:fill="FFFFFF"/>
            <w:vAlign w:val="center"/>
          </w:tcPr>
          <w:p w:rsidR="00454E67" w:rsidRPr="008B54F2" w:rsidRDefault="00454E67"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tcPr>
          <w:p w:rsidR="00454E67" w:rsidRDefault="00454E67" w:rsidP="00F95580">
            <w:pPr>
              <w:spacing w:before="20" w:after="20"/>
              <w:rPr>
                <w:rFonts w:cs="Arial"/>
                <w:sz w:val="14"/>
                <w:szCs w:val="14"/>
              </w:rPr>
            </w:pPr>
            <w:r>
              <w:rPr>
                <w:rFonts w:cs="Arial"/>
                <w:sz w:val="14"/>
                <w:szCs w:val="14"/>
              </w:rPr>
              <w:t>(A) When Unit 1 is operating alone:</w:t>
            </w:r>
          </w:p>
          <w:p w:rsidR="00454E67" w:rsidRDefault="00454E67" w:rsidP="00F95580">
            <w:pPr>
              <w:spacing w:before="20" w:after="20"/>
              <w:ind w:left="144" w:firstLine="144"/>
              <w:rPr>
                <w:rFonts w:cs="Arial"/>
                <w:sz w:val="14"/>
                <w:szCs w:val="14"/>
              </w:rPr>
            </w:pPr>
            <w:r>
              <w:rPr>
                <w:rFonts w:cs="Arial"/>
                <w:sz w:val="14"/>
                <w:szCs w:val="14"/>
              </w:rPr>
              <w:t xml:space="preserve">(i) 2152.2 </w:t>
            </w:r>
            <w:r w:rsidRPr="00791EF1">
              <w:rPr>
                <w:rFonts w:cs="Arial"/>
                <w:sz w:val="14"/>
                <w:szCs w:val="14"/>
              </w:rPr>
              <w:t>lbs</w:t>
            </w:r>
            <w:r>
              <w:rPr>
                <w:rFonts w:cs="Arial"/>
                <w:sz w:val="14"/>
                <w:szCs w:val="14"/>
              </w:rPr>
              <w:t xml:space="preserve">/hr, 1-hour average or </w:t>
            </w:r>
            <w:r w:rsidRPr="00791EF1">
              <w:rPr>
                <w:rFonts w:cs="Arial"/>
                <w:sz w:val="14"/>
                <w:szCs w:val="14"/>
              </w:rPr>
              <w:t>0.</w:t>
            </w:r>
            <w:r>
              <w:rPr>
                <w:rFonts w:cs="Arial"/>
                <w:sz w:val="14"/>
                <w:szCs w:val="14"/>
              </w:rPr>
              <w:t>855</w:t>
            </w:r>
            <w:r w:rsidRPr="00791EF1">
              <w:rPr>
                <w:rFonts w:cs="Arial"/>
                <w:sz w:val="14"/>
                <w:szCs w:val="14"/>
              </w:rPr>
              <w:t xml:space="preserve"> lbs/MMBtu</w:t>
            </w:r>
            <w:r>
              <w:rPr>
                <w:rFonts w:cs="Arial"/>
                <w:sz w:val="14"/>
                <w:szCs w:val="14"/>
              </w:rPr>
              <w:t xml:space="preserve"> 1-hour average</w:t>
            </w:r>
            <w:r w:rsidRPr="00791EF1">
              <w:rPr>
                <w:rFonts w:cs="Arial"/>
                <w:sz w:val="14"/>
                <w:szCs w:val="14"/>
              </w:rPr>
              <w:t>;</w:t>
            </w:r>
            <w:r>
              <w:rPr>
                <w:rFonts w:cs="Arial"/>
                <w:sz w:val="14"/>
                <w:szCs w:val="14"/>
              </w:rPr>
              <w:t xml:space="preserve"> and</w:t>
            </w:r>
          </w:p>
          <w:p w:rsidR="00454E67" w:rsidRDefault="00454E67" w:rsidP="00F95580">
            <w:pPr>
              <w:spacing w:before="20" w:after="20"/>
              <w:ind w:left="144" w:firstLine="144"/>
              <w:rPr>
                <w:rFonts w:cs="Arial"/>
                <w:sz w:val="14"/>
                <w:szCs w:val="14"/>
              </w:rPr>
            </w:pPr>
            <w:r>
              <w:rPr>
                <w:rFonts w:cs="Arial"/>
                <w:sz w:val="14"/>
                <w:szCs w:val="14"/>
              </w:rPr>
              <w:t xml:space="preserve">(ii) 1831.6 </w:t>
            </w:r>
            <w:r w:rsidRPr="00791EF1">
              <w:rPr>
                <w:rFonts w:cs="Arial"/>
                <w:sz w:val="14"/>
                <w:szCs w:val="14"/>
              </w:rPr>
              <w:t>lbs</w:t>
            </w:r>
            <w:r>
              <w:rPr>
                <w:rFonts w:cs="Arial"/>
                <w:sz w:val="14"/>
                <w:szCs w:val="14"/>
              </w:rPr>
              <w:t xml:space="preserve">/hr, 24-hour average or </w:t>
            </w:r>
            <w:r w:rsidRPr="00791EF1">
              <w:rPr>
                <w:rFonts w:cs="Arial"/>
                <w:sz w:val="14"/>
                <w:szCs w:val="14"/>
              </w:rPr>
              <w:t>0.</w:t>
            </w:r>
            <w:r>
              <w:rPr>
                <w:rFonts w:cs="Arial"/>
                <w:sz w:val="14"/>
                <w:szCs w:val="14"/>
              </w:rPr>
              <w:t>727</w:t>
            </w:r>
            <w:r w:rsidRPr="00791EF1">
              <w:rPr>
                <w:rFonts w:cs="Arial"/>
                <w:sz w:val="14"/>
                <w:szCs w:val="14"/>
              </w:rPr>
              <w:t xml:space="preserve"> lbs/MMBtu</w:t>
            </w:r>
            <w:r>
              <w:rPr>
                <w:rFonts w:cs="Arial"/>
                <w:sz w:val="14"/>
                <w:szCs w:val="14"/>
              </w:rPr>
              <w:t xml:space="preserve"> 24-hour average</w:t>
            </w:r>
            <w:r w:rsidRPr="00791EF1">
              <w:rPr>
                <w:rFonts w:cs="Arial"/>
                <w:sz w:val="14"/>
                <w:szCs w:val="14"/>
              </w:rPr>
              <w:t>;</w:t>
            </w:r>
          </w:p>
          <w:p w:rsidR="00454E67" w:rsidRDefault="00454E67" w:rsidP="00F95580">
            <w:pPr>
              <w:spacing w:before="20" w:after="20"/>
              <w:ind w:left="144" w:hanging="144"/>
              <w:rPr>
                <w:rFonts w:cs="Arial"/>
                <w:sz w:val="14"/>
                <w:szCs w:val="14"/>
              </w:rPr>
            </w:pPr>
            <w:r>
              <w:rPr>
                <w:rFonts w:cs="Arial"/>
                <w:sz w:val="14"/>
                <w:szCs w:val="14"/>
              </w:rPr>
              <w:t>(B) When Units 1 &amp; 2 are both in operation, both units shall not exceed the following combined emission rates:</w:t>
            </w:r>
          </w:p>
          <w:p w:rsidR="00454E67" w:rsidRDefault="00454E67" w:rsidP="00F95580">
            <w:pPr>
              <w:spacing w:before="20" w:after="20"/>
              <w:ind w:left="144" w:firstLine="144"/>
              <w:rPr>
                <w:rFonts w:cs="Arial"/>
                <w:sz w:val="14"/>
                <w:szCs w:val="14"/>
              </w:rPr>
            </w:pPr>
            <w:r>
              <w:rPr>
                <w:rFonts w:cs="Arial"/>
                <w:sz w:val="14"/>
                <w:szCs w:val="14"/>
              </w:rPr>
              <w:t xml:space="preserve">(i) 2152.2 </w:t>
            </w:r>
            <w:r w:rsidRPr="00791EF1">
              <w:rPr>
                <w:rFonts w:cs="Arial"/>
                <w:sz w:val="14"/>
                <w:szCs w:val="14"/>
              </w:rPr>
              <w:t>lbs</w:t>
            </w:r>
            <w:r>
              <w:rPr>
                <w:rFonts w:cs="Arial"/>
                <w:sz w:val="14"/>
                <w:szCs w:val="14"/>
              </w:rPr>
              <w:t xml:space="preserve">/hr, 1-hour average or </w:t>
            </w:r>
            <w:r w:rsidRPr="00791EF1">
              <w:rPr>
                <w:rFonts w:cs="Arial"/>
                <w:sz w:val="14"/>
                <w:szCs w:val="14"/>
              </w:rPr>
              <w:t>0.</w:t>
            </w:r>
            <w:r>
              <w:rPr>
                <w:rFonts w:cs="Arial"/>
                <w:sz w:val="14"/>
                <w:szCs w:val="14"/>
              </w:rPr>
              <w:t>426</w:t>
            </w:r>
            <w:r w:rsidRPr="00791EF1">
              <w:rPr>
                <w:rFonts w:cs="Arial"/>
                <w:sz w:val="14"/>
                <w:szCs w:val="14"/>
              </w:rPr>
              <w:t xml:space="preserve"> lbs/MMBtu</w:t>
            </w:r>
            <w:r>
              <w:rPr>
                <w:rFonts w:cs="Arial"/>
                <w:sz w:val="14"/>
                <w:szCs w:val="14"/>
              </w:rPr>
              <w:t xml:space="preserve"> 1-hour average</w:t>
            </w:r>
            <w:r w:rsidRPr="00791EF1">
              <w:rPr>
                <w:rFonts w:cs="Arial"/>
                <w:sz w:val="14"/>
                <w:szCs w:val="14"/>
              </w:rPr>
              <w:t>;</w:t>
            </w:r>
            <w:r>
              <w:rPr>
                <w:rFonts w:cs="Arial"/>
                <w:sz w:val="14"/>
                <w:szCs w:val="14"/>
              </w:rPr>
              <w:t xml:space="preserve"> and</w:t>
            </w:r>
          </w:p>
          <w:p w:rsidR="00454E67" w:rsidRDefault="00454E67" w:rsidP="00F95580">
            <w:pPr>
              <w:spacing w:before="20" w:after="20"/>
              <w:ind w:left="144" w:firstLine="144"/>
              <w:rPr>
                <w:rFonts w:cs="Arial"/>
                <w:sz w:val="14"/>
                <w:szCs w:val="14"/>
              </w:rPr>
            </w:pPr>
            <w:r>
              <w:rPr>
                <w:rFonts w:cs="Arial"/>
                <w:sz w:val="14"/>
                <w:szCs w:val="14"/>
              </w:rPr>
              <w:t xml:space="preserve">(ii) 1831.6 </w:t>
            </w:r>
            <w:r w:rsidRPr="00791EF1">
              <w:rPr>
                <w:rFonts w:cs="Arial"/>
                <w:sz w:val="14"/>
                <w:szCs w:val="14"/>
              </w:rPr>
              <w:t>lbs</w:t>
            </w:r>
            <w:r>
              <w:rPr>
                <w:rFonts w:cs="Arial"/>
                <w:sz w:val="14"/>
                <w:szCs w:val="14"/>
              </w:rPr>
              <w:t xml:space="preserve">/hr, 24-hour average or </w:t>
            </w:r>
            <w:r w:rsidRPr="00791EF1">
              <w:rPr>
                <w:rFonts w:cs="Arial"/>
                <w:sz w:val="14"/>
                <w:szCs w:val="14"/>
              </w:rPr>
              <w:t>0.</w:t>
            </w:r>
            <w:r>
              <w:rPr>
                <w:rFonts w:cs="Arial"/>
                <w:sz w:val="14"/>
                <w:szCs w:val="14"/>
              </w:rPr>
              <w:t>363</w:t>
            </w:r>
            <w:r w:rsidRPr="00791EF1">
              <w:rPr>
                <w:rFonts w:cs="Arial"/>
                <w:sz w:val="14"/>
                <w:szCs w:val="14"/>
              </w:rPr>
              <w:t xml:space="preserve"> lbs/MMBtu</w:t>
            </w:r>
            <w:r>
              <w:rPr>
                <w:rFonts w:cs="Arial"/>
                <w:sz w:val="14"/>
                <w:szCs w:val="14"/>
              </w:rPr>
              <w:t xml:space="preserve"> 24-hour average</w:t>
            </w:r>
            <w:r w:rsidRPr="00791EF1">
              <w:rPr>
                <w:rFonts w:cs="Arial"/>
                <w:sz w:val="14"/>
                <w:szCs w:val="14"/>
              </w:rPr>
              <w:t>;</w:t>
            </w:r>
          </w:p>
          <w:p w:rsidR="00454E67" w:rsidRDefault="00454E67" w:rsidP="00F95580">
            <w:pPr>
              <w:spacing w:before="20" w:after="20"/>
              <w:rPr>
                <w:rFonts w:cs="Arial"/>
                <w:sz w:val="14"/>
                <w:szCs w:val="14"/>
              </w:rPr>
            </w:pPr>
            <w:r>
              <w:rPr>
                <w:rFonts w:cs="Arial"/>
                <w:sz w:val="14"/>
                <w:szCs w:val="14"/>
              </w:rPr>
              <w:t>(C) When Unit 2 is operating alone:</w:t>
            </w:r>
          </w:p>
          <w:p w:rsidR="00454E67" w:rsidRDefault="00454E67" w:rsidP="00F95580">
            <w:pPr>
              <w:spacing w:before="20" w:after="20"/>
              <w:ind w:left="144" w:firstLine="144"/>
              <w:rPr>
                <w:rFonts w:cs="Arial"/>
                <w:sz w:val="14"/>
                <w:szCs w:val="14"/>
              </w:rPr>
            </w:pPr>
            <w:r>
              <w:rPr>
                <w:rFonts w:cs="Arial"/>
                <w:sz w:val="14"/>
                <w:szCs w:val="14"/>
              </w:rPr>
              <w:t xml:space="preserve">(i) 1745.7 </w:t>
            </w:r>
            <w:r w:rsidRPr="00791EF1">
              <w:rPr>
                <w:rFonts w:cs="Arial"/>
                <w:sz w:val="14"/>
                <w:szCs w:val="14"/>
              </w:rPr>
              <w:t>lbs</w:t>
            </w:r>
            <w:r>
              <w:rPr>
                <w:rFonts w:cs="Arial"/>
                <w:sz w:val="14"/>
                <w:szCs w:val="14"/>
              </w:rPr>
              <w:t xml:space="preserve">/hr, 1-hour average or </w:t>
            </w:r>
            <w:r w:rsidRPr="00791EF1">
              <w:rPr>
                <w:rFonts w:cs="Arial"/>
                <w:sz w:val="14"/>
                <w:szCs w:val="14"/>
              </w:rPr>
              <w:t>0.</w:t>
            </w:r>
            <w:r>
              <w:rPr>
                <w:rFonts w:cs="Arial"/>
                <w:sz w:val="14"/>
                <w:szCs w:val="14"/>
              </w:rPr>
              <w:t>690</w:t>
            </w:r>
            <w:r w:rsidRPr="00791EF1">
              <w:rPr>
                <w:rFonts w:cs="Arial"/>
                <w:sz w:val="14"/>
                <w:szCs w:val="14"/>
              </w:rPr>
              <w:t xml:space="preserve"> lbs/MMBtu</w:t>
            </w:r>
            <w:r>
              <w:rPr>
                <w:rFonts w:cs="Arial"/>
                <w:sz w:val="14"/>
                <w:szCs w:val="14"/>
              </w:rPr>
              <w:t xml:space="preserve"> 1-hour average</w:t>
            </w:r>
            <w:r w:rsidRPr="00791EF1">
              <w:rPr>
                <w:rFonts w:cs="Arial"/>
                <w:sz w:val="14"/>
                <w:szCs w:val="14"/>
              </w:rPr>
              <w:t>;</w:t>
            </w:r>
            <w:r>
              <w:rPr>
                <w:rFonts w:cs="Arial"/>
                <w:sz w:val="14"/>
                <w:szCs w:val="14"/>
              </w:rPr>
              <w:t xml:space="preserve"> and</w:t>
            </w:r>
          </w:p>
          <w:p w:rsidR="00454E67" w:rsidRPr="008B54F2" w:rsidRDefault="00454E67" w:rsidP="00CD188D">
            <w:pPr>
              <w:spacing w:before="20" w:after="20"/>
              <w:rPr>
                <w:rFonts w:cs="Arial"/>
                <w:sz w:val="14"/>
                <w:szCs w:val="14"/>
              </w:rPr>
            </w:pPr>
            <w:r>
              <w:rPr>
                <w:rFonts w:cs="Arial"/>
                <w:sz w:val="14"/>
                <w:szCs w:val="14"/>
              </w:rPr>
              <w:t xml:space="preserve">       (ii) 1485.59 </w:t>
            </w:r>
            <w:r w:rsidRPr="00791EF1">
              <w:rPr>
                <w:rFonts w:cs="Arial"/>
                <w:sz w:val="14"/>
                <w:szCs w:val="14"/>
              </w:rPr>
              <w:t>lbs</w:t>
            </w:r>
            <w:r>
              <w:rPr>
                <w:rFonts w:cs="Arial"/>
                <w:sz w:val="14"/>
                <w:szCs w:val="14"/>
              </w:rPr>
              <w:t xml:space="preserve">/hr, 24-hour average or </w:t>
            </w:r>
            <w:r w:rsidRPr="00791EF1">
              <w:rPr>
                <w:rFonts w:cs="Arial"/>
                <w:sz w:val="14"/>
                <w:szCs w:val="14"/>
              </w:rPr>
              <w:t>0.</w:t>
            </w:r>
            <w:r>
              <w:rPr>
                <w:rFonts w:cs="Arial"/>
                <w:sz w:val="14"/>
                <w:szCs w:val="14"/>
              </w:rPr>
              <w:t>588</w:t>
            </w:r>
            <w:r w:rsidRPr="00791EF1">
              <w:rPr>
                <w:rFonts w:cs="Arial"/>
                <w:sz w:val="14"/>
                <w:szCs w:val="14"/>
              </w:rPr>
              <w:t xml:space="preserve"> lbs/MMBtu</w:t>
            </w:r>
            <w:r>
              <w:rPr>
                <w:rFonts w:cs="Arial"/>
                <w:sz w:val="14"/>
                <w:szCs w:val="14"/>
              </w:rPr>
              <w:t xml:space="preserve"> 24-hour average</w:t>
            </w:r>
            <w:r w:rsidRPr="00791EF1">
              <w:rPr>
                <w:rFonts w:cs="Arial"/>
                <w:sz w:val="14"/>
                <w:szCs w:val="14"/>
              </w:rPr>
              <w:t>;</w:t>
            </w:r>
          </w:p>
        </w:tc>
        <w:tc>
          <w:tcPr>
            <w:tcW w:w="1350" w:type="dxa"/>
            <w:shd w:val="clear" w:color="000000" w:fill="FFFFFF"/>
            <w:vAlign w:val="center"/>
          </w:tcPr>
          <w:p w:rsidR="00454E67" w:rsidRPr="008B54F2" w:rsidRDefault="00454E67" w:rsidP="00CD188D">
            <w:pPr>
              <w:spacing w:before="20" w:after="20"/>
              <w:jc w:val="center"/>
              <w:rPr>
                <w:rFonts w:cs="Arial"/>
                <w:sz w:val="14"/>
                <w:szCs w:val="14"/>
              </w:rPr>
            </w:pPr>
            <w:r>
              <w:rPr>
                <w:rFonts w:cs="Arial"/>
                <w:sz w:val="14"/>
                <w:szCs w:val="14"/>
              </w:rPr>
              <w:t>20</w:t>
            </w:r>
            <w:r w:rsidRPr="00E836E9">
              <w:rPr>
                <w:rFonts w:cs="Arial"/>
                <w:sz w:val="14"/>
                <w:szCs w:val="14"/>
              </w:rPr>
              <w:t>16</w:t>
            </w:r>
          </w:p>
        </w:tc>
        <w:tc>
          <w:tcPr>
            <w:tcW w:w="3078" w:type="dxa"/>
            <w:vMerge w:val="restart"/>
            <w:shd w:val="clear" w:color="000000" w:fill="FFFFFF"/>
            <w:vAlign w:val="center"/>
          </w:tcPr>
          <w:p w:rsidR="00454E67" w:rsidRPr="008B54F2" w:rsidRDefault="00454E67" w:rsidP="00CD188D">
            <w:pPr>
              <w:spacing w:before="20" w:after="20"/>
              <w:jc w:val="center"/>
              <w:rPr>
                <w:rFonts w:cs="Arial"/>
                <w:sz w:val="14"/>
                <w:szCs w:val="14"/>
              </w:rPr>
            </w:pPr>
            <w:r w:rsidRPr="00454E67">
              <w:rPr>
                <w:rFonts w:cs="Arial"/>
                <w:sz w:val="14"/>
                <w:szCs w:val="14"/>
              </w:rPr>
              <w:t>https://www.regulations.gov/document?D=EPA-R05-OAR-2016-0090-0005</w:t>
            </w:r>
          </w:p>
        </w:tc>
      </w:tr>
      <w:tr w:rsidR="00454E67" w:rsidRPr="008B54F2" w:rsidTr="00CD188D">
        <w:trPr>
          <w:cantSplit/>
        </w:trPr>
        <w:tc>
          <w:tcPr>
            <w:tcW w:w="1159" w:type="dxa"/>
            <w:vMerge/>
            <w:shd w:val="clear" w:color="000000" w:fill="FFFFFF"/>
            <w:vAlign w:val="center"/>
          </w:tcPr>
          <w:p w:rsidR="00454E67" w:rsidRPr="008B54F2" w:rsidRDefault="00454E67" w:rsidP="00CD188D">
            <w:pPr>
              <w:spacing w:before="20" w:after="20"/>
              <w:jc w:val="center"/>
              <w:rPr>
                <w:rFonts w:cs="Arial"/>
                <w:sz w:val="14"/>
                <w:szCs w:val="14"/>
              </w:rPr>
            </w:pPr>
          </w:p>
        </w:tc>
        <w:tc>
          <w:tcPr>
            <w:tcW w:w="1434" w:type="dxa"/>
            <w:shd w:val="clear" w:color="000000" w:fill="FFFFFF"/>
            <w:vAlign w:val="center"/>
          </w:tcPr>
          <w:p w:rsidR="00454E67" w:rsidRPr="008B54F2" w:rsidRDefault="00454E67" w:rsidP="00CD188D">
            <w:pPr>
              <w:spacing w:before="20" w:after="20"/>
              <w:jc w:val="center"/>
              <w:rPr>
                <w:rFonts w:cs="Arial"/>
                <w:sz w:val="14"/>
                <w:szCs w:val="14"/>
              </w:rPr>
            </w:pPr>
            <w:r>
              <w:rPr>
                <w:rFonts w:cs="Arial"/>
                <w:sz w:val="14"/>
                <w:szCs w:val="14"/>
              </w:rPr>
              <w:t>Clifty Creek Generating Station Consent Order dated 2/1/2016</w:t>
            </w:r>
          </w:p>
        </w:tc>
        <w:tc>
          <w:tcPr>
            <w:tcW w:w="878" w:type="dxa"/>
            <w:shd w:val="clear" w:color="000000" w:fill="FFFFFF"/>
            <w:vAlign w:val="center"/>
          </w:tcPr>
          <w:p w:rsidR="00454E67" w:rsidRPr="008B54F2" w:rsidRDefault="00454E67"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tcPr>
          <w:p w:rsidR="00454E67" w:rsidRPr="008B54F2" w:rsidRDefault="00454E67" w:rsidP="00CD188D">
            <w:pPr>
              <w:spacing w:before="20" w:after="20"/>
              <w:rPr>
                <w:rFonts w:cs="Arial"/>
                <w:sz w:val="14"/>
                <w:szCs w:val="14"/>
              </w:rPr>
            </w:pPr>
            <w:r w:rsidRPr="00E836E9">
              <w:rPr>
                <w:rFonts w:cs="Arial"/>
                <w:sz w:val="14"/>
                <w:szCs w:val="14"/>
              </w:rPr>
              <w:t>Units 1-6, 2624.5 lbs SO2/hr on a 720</w:t>
            </w:r>
            <w:r>
              <w:rPr>
                <w:rFonts w:cs="Arial"/>
                <w:sz w:val="14"/>
                <w:szCs w:val="14"/>
              </w:rPr>
              <w:t>-</w:t>
            </w:r>
            <w:r w:rsidRPr="00E836E9">
              <w:rPr>
                <w:rFonts w:cs="Arial"/>
                <w:sz w:val="14"/>
                <w:szCs w:val="14"/>
              </w:rPr>
              <w:t>hr rolling average</w:t>
            </w:r>
          </w:p>
        </w:tc>
        <w:tc>
          <w:tcPr>
            <w:tcW w:w="1350" w:type="dxa"/>
            <w:shd w:val="clear" w:color="000000" w:fill="FFFFFF"/>
            <w:vAlign w:val="center"/>
          </w:tcPr>
          <w:p w:rsidR="00454E67" w:rsidRPr="008B54F2" w:rsidRDefault="00454E67" w:rsidP="00CD188D">
            <w:pPr>
              <w:spacing w:before="20" w:after="20"/>
              <w:jc w:val="center"/>
              <w:rPr>
                <w:rFonts w:cs="Arial"/>
                <w:sz w:val="14"/>
                <w:szCs w:val="14"/>
              </w:rPr>
            </w:pPr>
            <w:r>
              <w:rPr>
                <w:rFonts w:cs="Arial"/>
                <w:sz w:val="14"/>
                <w:szCs w:val="14"/>
              </w:rPr>
              <w:t>20</w:t>
            </w:r>
            <w:r w:rsidRPr="00E836E9">
              <w:rPr>
                <w:rFonts w:cs="Arial"/>
                <w:sz w:val="14"/>
                <w:szCs w:val="14"/>
              </w:rPr>
              <w:t>16</w:t>
            </w:r>
          </w:p>
        </w:tc>
        <w:tc>
          <w:tcPr>
            <w:tcW w:w="3078" w:type="dxa"/>
            <w:vMerge/>
            <w:shd w:val="clear" w:color="000000" w:fill="FFFFFF"/>
            <w:vAlign w:val="center"/>
          </w:tcPr>
          <w:p w:rsidR="00454E67" w:rsidRPr="008B54F2" w:rsidRDefault="00454E67" w:rsidP="00CD188D">
            <w:pPr>
              <w:spacing w:before="20" w:after="20"/>
              <w:jc w:val="center"/>
              <w:rPr>
                <w:rFonts w:cs="Arial"/>
                <w:sz w:val="14"/>
                <w:szCs w:val="14"/>
              </w:rPr>
            </w:pPr>
          </w:p>
        </w:tc>
      </w:tr>
      <w:tr w:rsidR="000B5BB0" w:rsidRPr="008B54F2" w:rsidTr="00CD188D">
        <w:trPr>
          <w:cantSplit/>
        </w:trPr>
        <w:tc>
          <w:tcPr>
            <w:tcW w:w="1159" w:type="dxa"/>
            <w:vMerge w:val="restart"/>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Kansas</w:t>
            </w:r>
          </w:p>
        </w:tc>
        <w:tc>
          <w:tcPr>
            <w:tcW w:w="1434"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r w:rsidRPr="008B54F2">
              <w:rPr>
                <w:rFonts w:cs="Arial"/>
                <w:sz w:val="14"/>
                <w:szCs w:val="14"/>
              </w:rPr>
              <w:t xml:space="preserve"> Emission Reduction Rule, K.A.R. 28-19-713a.</w:t>
            </w:r>
          </w:p>
          <w:p w:rsidR="000B5BB0" w:rsidRPr="008B54F2" w:rsidRDefault="000B5BB0" w:rsidP="00CD188D">
            <w:pPr>
              <w:spacing w:before="20" w:after="20"/>
              <w:jc w:val="center"/>
              <w:rPr>
                <w:rFonts w:cs="Arial"/>
                <w:sz w:val="14"/>
                <w:szCs w:val="14"/>
              </w:rPr>
            </w:pPr>
            <w:r w:rsidRPr="008B54F2">
              <w:rPr>
                <w:rFonts w:cs="Arial"/>
                <w:sz w:val="14"/>
                <w:szCs w:val="14"/>
              </w:rPr>
              <w:t>(Nearman Unit 1)</w:t>
            </w:r>
          </w:p>
        </w:tc>
        <w:tc>
          <w:tcPr>
            <w:tcW w:w="878" w:type="dxa"/>
            <w:shd w:val="clear" w:color="000000" w:fill="FFFFFF"/>
            <w:vAlign w:val="center"/>
          </w:tcPr>
          <w:p w:rsidR="000B5BB0" w:rsidRPr="008B54F2" w:rsidRDefault="000B5BB0" w:rsidP="00CD188D">
            <w:pPr>
              <w:spacing w:before="20" w:after="20"/>
              <w:jc w:val="center"/>
              <w:rPr>
                <w:rFonts w:cs="Arial"/>
                <w:sz w:val="14"/>
                <w:szCs w:val="14"/>
                <w:vertAlign w:val="subscript"/>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tcPr>
          <w:p w:rsidR="000B5BB0" w:rsidRPr="008B54F2" w:rsidRDefault="000B5BB0" w:rsidP="00CD188D">
            <w:pPr>
              <w:spacing w:before="20" w:after="20"/>
              <w:rPr>
                <w:rFonts w:cs="Arial"/>
                <w:sz w:val="14"/>
                <w:szCs w:val="14"/>
              </w:rPr>
            </w:pPr>
            <w:r w:rsidRPr="008B54F2">
              <w:rPr>
                <w:rFonts w:cs="Arial"/>
                <w:sz w:val="14"/>
                <w:szCs w:val="14"/>
              </w:rPr>
              <w:t xml:space="preserve">Annual rate limit </w:t>
            </w:r>
            <w:r w:rsidR="00BA5490">
              <w:rPr>
                <w:rFonts w:cs="Arial"/>
                <w:sz w:val="14"/>
                <w:szCs w:val="14"/>
              </w:rPr>
              <w:t>0</w:t>
            </w:r>
            <w:r w:rsidRPr="008B54F2">
              <w:rPr>
                <w:rFonts w:cs="Arial"/>
                <w:sz w:val="14"/>
                <w:szCs w:val="14"/>
              </w:rPr>
              <w:t>.26 lbs/MMBtu</w:t>
            </w:r>
          </w:p>
        </w:tc>
        <w:tc>
          <w:tcPr>
            <w:tcW w:w="1350"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vAlign w:val="center"/>
          </w:tcPr>
          <w:p w:rsidR="000B5BB0" w:rsidRPr="008B54F2" w:rsidRDefault="000B5BB0" w:rsidP="00CD188D">
            <w:pPr>
              <w:spacing w:before="20" w:after="20"/>
              <w:jc w:val="center"/>
              <w:rPr>
                <w:rFonts w:cs="Arial"/>
                <w:sz w:val="14"/>
                <w:szCs w:val="14"/>
              </w:rPr>
            </w:pPr>
          </w:p>
        </w:tc>
      </w:tr>
      <w:tr w:rsidR="000B5BB0" w:rsidRPr="008B54F2" w:rsidTr="00CD188D">
        <w:trPr>
          <w:cantSplit/>
        </w:trPr>
        <w:tc>
          <w:tcPr>
            <w:tcW w:w="1159" w:type="dxa"/>
            <w:vMerge/>
            <w:shd w:val="clear" w:color="000000" w:fill="FFFFFF"/>
            <w:vAlign w:val="center"/>
          </w:tcPr>
          <w:p w:rsidR="000B5BB0" w:rsidRPr="008B54F2" w:rsidRDefault="000B5BB0" w:rsidP="00CD188D">
            <w:pPr>
              <w:spacing w:before="20" w:after="20"/>
              <w:jc w:val="center"/>
              <w:rPr>
                <w:rFonts w:cs="Arial"/>
                <w:sz w:val="14"/>
                <w:szCs w:val="14"/>
              </w:rPr>
            </w:pPr>
          </w:p>
        </w:tc>
        <w:tc>
          <w:tcPr>
            <w:tcW w:w="1434"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N</w:t>
            </w:r>
            <w:r>
              <w:rPr>
                <w:rFonts w:cs="Arial"/>
                <w:sz w:val="14"/>
                <w:szCs w:val="14"/>
              </w:rPr>
              <w:t>O</w:t>
            </w:r>
            <w:r w:rsidRPr="000C0B40">
              <w:rPr>
                <w:rFonts w:cs="Arial"/>
                <w:sz w:val="14"/>
                <w:szCs w:val="14"/>
                <w:vertAlign w:val="subscript"/>
              </w:rPr>
              <w:t>x</w:t>
            </w:r>
            <w:r w:rsidRPr="008B54F2">
              <w:rPr>
                <w:rFonts w:cs="Arial"/>
                <w:sz w:val="14"/>
                <w:szCs w:val="14"/>
              </w:rPr>
              <w:t xml:space="preserve"> Emission Reduction Rule, K.A.R. 28-19-713a. (Quindaro Unit 2)</w:t>
            </w:r>
          </w:p>
        </w:tc>
        <w:tc>
          <w:tcPr>
            <w:tcW w:w="878" w:type="dxa"/>
            <w:shd w:val="clear" w:color="000000" w:fill="FFFFFF"/>
            <w:vAlign w:val="center"/>
          </w:tcPr>
          <w:p w:rsidR="000B5BB0" w:rsidRPr="008B54F2" w:rsidRDefault="000B5BB0" w:rsidP="00CD188D">
            <w:pPr>
              <w:spacing w:before="20" w:after="20"/>
              <w:jc w:val="center"/>
              <w:rPr>
                <w:rFonts w:cs="Arial"/>
                <w:sz w:val="14"/>
                <w:szCs w:val="14"/>
                <w:vertAlign w:val="subscript"/>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tcPr>
          <w:p w:rsidR="000B5BB0" w:rsidRPr="008B54F2" w:rsidRDefault="000B5BB0" w:rsidP="00CD188D">
            <w:pPr>
              <w:spacing w:before="20" w:after="20"/>
              <w:rPr>
                <w:rFonts w:cs="Arial"/>
                <w:sz w:val="14"/>
                <w:szCs w:val="14"/>
              </w:rPr>
            </w:pPr>
            <w:r w:rsidRPr="008B54F2">
              <w:rPr>
                <w:rFonts w:cs="Arial"/>
                <w:sz w:val="14"/>
                <w:szCs w:val="14"/>
              </w:rPr>
              <w:t xml:space="preserve">Annual rate limit </w:t>
            </w:r>
            <w:r w:rsidR="00BA5490">
              <w:rPr>
                <w:rFonts w:cs="Arial"/>
                <w:sz w:val="14"/>
                <w:szCs w:val="14"/>
              </w:rPr>
              <w:t>0</w:t>
            </w:r>
            <w:r w:rsidRPr="008B54F2">
              <w:rPr>
                <w:rFonts w:cs="Arial"/>
                <w:sz w:val="14"/>
                <w:szCs w:val="14"/>
              </w:rPr>
              <w:t>.20 lbs/MMBtu</w:t>
            </w:r>
          </w:p>
        </w:tc>
        <w:tc>
          <w:tcPr>
            <w:tcW w:w="1350"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vAlign w:val="center"/>
          </w:tcPr>
          <w:p w:rsidR="000B5BB0" w:rsidRPr="008B54F2" w:rsidRDefault="000B5BB0" w:rsidP="00CD188D">
            <w:pPr>
              <w:spacing w:before="20" w:after="20"/>
              <w:jc w:val="center"/>
              <w:rPr>
                <w:rFonts w:cs="Arial"/>
                <w:sz w:val="14"/>
                <w:szCs w:val="14"/>
              </w:rPr>
            </w:pP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Louisiana</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Title 33 Part IIl - Chapter 22, Control of Nitrogen Oxides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For units &gt;/= 80 MMBtu/hr, rate limit in lbs/MMBtu:</w:t>
            </w:r>
            <w:r w:rsidRPr="008B54F2">
              <w:rPr>
                <w:rFonts w:cs="Arial"/>
                <w:sz w:val="14"/>
                <w:szCs w:val="14"/>
              </w:rPr>
              <w:br/>
              <w:t xml:space="preserve">Coal fired : 0.21 </w:t>
            </w:r>
            <w:r w:rsidRPr="008B54F2">
              <w:rPr>
                <w:rFonts w:cs="Arial"/>
                <w:sz w:val="14"/>
                <w:szCs w:val="14"/>
              </w:rPr>
              <w:br/>
              <w:t xml:space="preserve">Oil-fired: 0.18 </w:t>
            </w:r>
            <w:r w:rsidRPr="008B54F2">
              <w:rPr>
                <w:rFonts w:cs="Arial"/>
                <w:sz w:val="14"/>
                <w:szCs w:val="14"/>
              </w:rPr>
              <w:br/>
              <w:t>All others (gas or liquid): 0.1</w:t>
            </w:r>
            <w:r w:rsidRPr="008B54F2">
              <w:rPr>
                <w:rFonts w:cs="Arial"/>
                <w:sz w:val="14"/>
                <w:szCs w:val="14"/>
              </w:rPr>
              <w:br/>
            </w:r>
            <w:r w:rsidRPr="008B54F2">
              <w:rPr>
                <w:rFonts w:cs="Arial"/>
                <w:sz w:val="14"/>
                <w:szCs w:val="14"/>
              </w:rPr>
              <w:br/>
              <w:t>Stationary Sources &gt;/= 10 MMBtu/hr, rate limit in lbs/MMBtu:</w:t>
            </w:r>
            <w:r w:rsidRPr="008B54F2">
              <w:rPr>
                <w:rFonts w:cs="Arial"/>
                <w:sz w:val="14"/>
                <w:szCs w:val="14"/>
              </w:rPr>
              <w:br/>
              <w:t xml:space="preserve">Oil-fired: 0.3 </w:t>
            </w:r>
            <w:r w:rsidRPr="008B54F2">
              <w:rPr>
                <w:rFonts w:cs="Arial"/>
                <w:sz w:val="14"/>
                <w:szCs w:val="14"/>
              </w:rPr>
              <w:br/>
              <w:t>Gas-fired: 0.2</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2005 </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Applicable for all units in Baton Rouge Nonattainment Area &amp; Region of Influence.</w:t>
            </w:r>
            <w:r w:rsidRPr="008B54F2">
              <w:rPr>
                <w:rFonts w:cs="Arial"/>
                <w:sz w:val="14"/>
                <w:szCs w:val="14"/>
              </w:rPr>
              <w:br/>
            </w:r>
            <w:r w:rsidRPr="008B54F2">
              <w:rPr>
                <w:rFonts w:cs="Arial"/>
                <w:sz w:val="14"/>
                <w:szCs w:val="14"/>
              </w:rPr>
              <w:br/>
              <w:t xml:space="preserve">Willow Glenn, located in Iberville, obtained a permit that allows its gas-fired units to maintain a cap. These units are separately modeled.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Title 33, Part III - Chapter 15, Emission Standards for Sulfur Dioxide</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1.2 lbs/MMBtu ozone season ppmvd for all single point sources that emit or have the potential to emit 5 tons or more of SO</w:t>
            </w:r>
            <w:r w:rsidRPr="008B54F2">
              <w:rPr>
                <w:rFonts w:cs="Arial"/>
                <w:sz w:val="14"/>
                <w:szCs w:val="14"/>
                <w:vertAlign w:val="subscript"/>
              </w:rPr>
              <w:t>2</w:t>
            </w:r>
            <w:r w:rsidRPr="008B54F2">
              <w:rPr>
                <w:rFonts w:cs="Arial"/>
                <w:sz w:val="14"/>
                <w:szCs w:val="14"/>
              </w:rPr>
              <w:t xml:space="preserve"> </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2005</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lastRenderedPageBreak/>
              <w:t>Maine</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Chapter 145 NO</w:t>
            </w:r>
            <w:r w:rsidRPr="008B54F2">
              <w:rPr>
                <w:rFonts w:cs="Arial"/>
                <w:sz w:val="14"/>
                <w:szCs w:val="14"/>
                <w:vertAlign w:val="subscript"/>
              </w:rPr>
              <w:t>x</w:t>
            </w:r>
            <w:r w:rsidRPr="008B54F2">
              <w:rPr>
                <w:rFonts w:cs="Arial"/>
                <w:sz w:val="14"/>
                <w:szCs w:val="14"/>
              </w:rPr>
              <w:t xml:space="preserve"> Control Program</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0.22 lbs/MMBtu annual rate limit for all fossil fuel units &gt; 25 MW built before 1995 with a heat input capacity &lt; 750 MMBtu/hr.</w:t>
            </w:r>
            <w:r w:rsidRPr="008B54F2">
              <w:rPr>
                <w:rFonts w:cs="Arial"/>
                <w:sz w:val="14"/>
                <w:szCs w:val="14"/>
              </w:rPr>
              <w:br/>
              <w:t>0.15 lbs/MMBtu annual rate limit for all fossil fuel units &gt; 25 MW built before 1995 with a heat input capacity &gt; 750 MMBtu/hr.</w:t>
            </w:r>
            <w:r w:rsidRPr="008B54F2">
              <w:rPr>
                <w:rFonts w:cs="Arial"/>
                <w:sz w:val="14"/>
                <w:szCs w:val="14"/>
              </w:rPr>
              <w:br/>
              <w:t>0.20 lbs/MMBtu annual rate limit for all fossil fuel fired indirect heat exchangers, primary boilers, and resource recovery units with heat input capacity &gt; 250 MMBtu/hr</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2005</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xml:space="preserve">38 MRSA Section 603-A Low Sulfur in Fuel Rule </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All fossil units require the use of 0.5% sulfur residual oil [0.52 lbs/MMBtu]</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2018</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Fuel rule modeled through unit emission rates</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Statue 585-B Title 38, Chapter 4: Protection and Improvement of Air</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25 lbs annual cap for any facility including EGUs (0.0000125 MTons)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2010</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Maryland</w:t>
            </w:r>
          </w:p>
        </w:tc>
        <w:tc>
          <w:tcPr>
            <w:tcW w:w="1434" w:type="dxa"/>
            <w:vMerge w:val="restart"/>
            <w:shd w:val="clear" w:color="000000" w:fill="FFFFFF"/>
            <w:vAlign w:val="center"/>
            <w:hideMark/>
          </w:tcPr>
          <w:p w:rsidR="000B5BB0" w:rsidRDefault="000B5BB0" w:rsidP="00CD188D">
            <w:pPr>
              <w:spacing w:before="20" w:after="20"/>
              <w:jc w:val="center"/>
              <w:rPr>
                <w:rFonts w:cs="Arial"/>
                <w:sz w:val="14"/>
                <w:szCs w:val="14"/>
              </w:rPr>
            </w:pPr>
            <w:r w:rsidRPr="008B54F2">
              <w:rPr>
                <w:rFonts w:cs="Arial"/>
                <w:sz w:val="14"/>
                <w:szCs w:val="14"/>
              </w:rPr>
              <w:t>Maryland Healthy Air Act</w:t>
            </w:r>
          </w:p>
          <w:p w:rsidR="006007B0" w:rsidRPr="008B54F2" w:rsidRDefault="006007B0" w:rsidP="00CD188D">
            <w:pPr>
              <w:spacing w:before="20" w:after="20"/>
              <w:jc w:val="center"/>
              <w:rPr>
                <w:rFonts w:cs="Arial"/>
                <w:sz w:val="14"/>
                <w:szCs w:val="14"/>
              </w:rPr>
            </w:pPr>
            <w:r w:rsidRPr="006007B0">
              <w:rPr>
                <w:rFonts w:cs="Arial"/>
                <w:sz w:val="14"/>
                <w:szCs w:val="14"/>
              </w:rPr>
              <w:t>(COMAR 26.11.27)</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Default="000B5BB0" w:rsidP="00CD188D">
            <w:pPr>
              <w:spacing w:before="20" w:after="20"/>
              <w:rPr>
                <w:rFonts w:cs="Arial"/>
                <w:sz w:val="14"/>
                <w:szCs w:val="14"/>
              </w:rPr>
            </w:pPr>
          </w:p>
          <w:p w:rsidR="006007B0" w:rsidRPr="006007B0" w:rsidRDefault="006007B0" w:rsidP="006007B0">
            <w:pPr>
              <w:spacing w:before="20" w:after="20"/>
              <w:rPr>
                <w:rFonts w:cs="Arial"/>
                <w:sz w:val="14"/>
                <w:szCs w:val="14"/>
              </w:rPr>
            </w:pPr>
            <w:r w:rsidRPr="006007B0">
              <w:rPr>
                <w:rFonts w:cs="Arial"/>
                <w:sz w:val="14"/>
                <w:szCs w:val="14"/>
              </w:rPr>
              <w:t>The annual NOx tonnage limitations:</w:t>
            </w:r>
          </w:p>
          <w:p w:rsidR="006007B0" w:rsidRDefault="006007B0" w:rsidP="006007B0">
            <w:pPr>
              <w:spacing w:before="20" w:after="20"/>
              <w:rPr>
                <w:rFonts w:cs="Arial"/>
                <w:sz w:val="14"/>
                <w:szCs w:val="14"/>
              </w:rPr>
            </w:pPr>
            <w:r w:rsidRPr="006007B0">
              <w:rPr>
                <w:rFonts w:cs="Arial"/>
                <w:sz w:val="14"/>
                <w:szCs w:val="14"/>
              </w:rPr>
              <w:t xml:space="preserve">1/2009-12/31/2011 - 20.216 </w:t>
            </w:r>
            <w:r w:rsidR="00A53FC2" w:rsidRPr="006007B0">
              <w:rPr>
                <w:rFonts w:cs="Arial"/>
                <w:sz w:val="14"/>
                <w:szCs w:val="14"/>
              </w:rPr>
              <w:t>M</w:t>
            </w:r>
            <w:r w:rsidR="00A53FC2">
              <w:rPr>
                <w:rFonts w:cs="Arial"/>
                <w:sz w:val="14"/>
                <w:szCs w:val="14"/>
              </w:rPr>
              <w:t>T</w:t>
            </w:r>
            <w:r w:rsidR="00A53FC2" w:rsidRPr="006007B0">
              <w:rPr>
                <w:rFonts w:cs="Arial"/>
                <w:sz w:val="14"/>
                <w:szCs w:val="14"/>
              </w:rPr>
              <w:t xml:space="preserve">ons </w:t>
            </w:r>
          </w:p>
          <w:p w:rsidR="006007B0" w:rsidRPr="006007B0" w:rsidRDefault="006007B0" w:rsidP="006007B0">
            <w:pPr>
              <w:spacing w:before="20" w:after="20"/>
              <w:rPr>
                <w:rFonts w:cs="Arial"/>
                <w:sz w:val="14"/>
                <w:szCs w:val="14"/>
              </w:rPr>
            </w:pPr>
            <w:r w:rsidRPr="006007B0">
              <w:rPr>
                <w:rFonts w:cs="Arial"/>
                <w:sz w:val="14"/>
                <w:szCs w:val="14"/>
              </w:rPr>
              <w:t xml:space="preserve">1/1/2012 onward - 16.324 </w:t>
            </w:r>
            <w:r w:rsidR="00A53FC2" w:rsidRPr="006007B0">
              <w:rPr>
                <w:rFonts w:cs="Arial"/>
                <w:sz w:val="14"/>
                <w:szCs w:val="14"/>
              </w:rPr>
              <w:t>M</w:t>
            </w:r>
            <w:r w:rsidR="00A53FC2">
              <w:rPr>
                <w:rFonts w:cs="Arial"/>
                <w:sz w:val="14"/>
                <w:szCs w:val="14"/>
              </w:rPr>
              <w:t>T</w:t>
            </w:r>
            <w:r w:rsidR="00A53FC2" w:rsidRPr="006007B0">
              <w:rPr>
                <w:rFonts w:cs="Arial"/>
                <w:sz w:val="14"/>
                <w:szCs w:val="14"/>
              </w:rPr>
              <w:t>ons</w:t>
            </w:r>
            <w:r w:rsidRPr="006007B0">
              <w:rPr>
                <w:rFonts w:cs="Arial"/>
                <w:sz w:val="14"/>
                <w:szCs w:val="14"/>
              </w:rPr>
              <w:t xml:space="preserve"> (16.7 </w:t>
            </w:r>
            <w:r w:rsidR="00A53FC2" w:rsidRPr="006007B0">
              <w:rPr>
                <w:rFonts w:cs="Arial"/>
                <w:sz w:val="14"/>
                <w:szCs w:val="14"/>
              </w:rPr>
              <w:t>M</w:t>
            </w:r>
            <w:r w:rsidR="00A53FC2">
              <w:rPr>
                <w:rFonts w:cs="Arial"/>
                <w:sz w:val="14"/>
                <w:szCs w:val="14"/>
              </w:rPr>
              <w:t>T</w:t>
            </w:r>
            <w:r w:rsidR="00A53FC2" w:rsidRPr="006007B0">
              <w:rPr>
                <w:rFonts w:cs="Arial"/>
                <w:sz w:val="14"/>
                <w:szCs w:val="14"/>
              </w:rPr>
              <w:t>ons</w:t>
            </w:r>
            <w:r w:rsidRPr="006007B0">
              <w:rPr>
                <w:rFonts w:cs="Arial"/>
                <w:sz w:val="14"/>
                <w:szCs w:val="14"/>
              </w:rPr>
              <w:t xml:space="preserve"> minus the tonnage for R. Paul Smith units 3 and 4 which are retired)</w:t>
            </w:r>
          </w:p>
          <w:p w:rsidR="006007B0" w:rsidRPr="006007B0" w:rsidRDefault="006007B0" w:rsidP="006007B0">
            <w:pPr>
              <w:spacing w:before="20" w:after="20"/>
              <w:rPr>
                <w:rFonts w:cs="Arial"/>
                <w:sz w:val="14"/>
                <w:szCs w:val="14"/>
              </w:rPr>
            </w:pPr>
          </w:p>
          <w:p w:rsidR="006007B0" w:rsidRPr="006007B0" w:rsidRDefault="006007B0" w:rsidP="006007B0">
            <w:pPr>
              <w:spacing w:before="20" w:after="20"/>
              <w:rPr>
                <w:rFonts w:cs="Arial"/>
                <w:sz w:val="14"/>
                <w:szCs w:val="14"/>
              </w:rPr>
            </w:pPr>
            <w:r w:rsidRPr="006007B0">
              <w:rPr>
                <w:rFonts w:cs="Arial"/>
                <w:sz w:val="14"/>
                <w:szCs w:val="14"/>
              </w:rPr>
              <w:t>The ozone season NOx tonnage limitations</w:t>
            </w:r>
          </w:p>
          <w:p w:rsidR="006007B0" w:rsidRPr="006007B0" w:rsidRDefault="006007B0" w:rsidP="006007B0">
            <w:pPr>
              <w:spacing w:before="20" w:after="20"/>
              <w:rPr>
                <w:rFonts w:cs="Arial"/>
                <w:sz w:val="14"/>
                <w:szCs w:val="14"/>
              </w:rPr>
            </w:pPr>
            <w:r>
              <w:rPr>
                <w:rFonts w:cs="Arial"/>
                <w:sz w:val="14"/>
                <w:szCs w:val="14"/>
              </w:rPr>
              <w:t xml:space="preserve">5/1/2009-9/30/2011 - 8.9 </w:t>
            </w:r>
            <w:r w:rsidR="00A53FC2" w:rsidRPr="006007B0">
              <w:rPr>
                <w:rFonts w:cs="Arial"/>
                <w:sz w:val="14"/>
                <w:szCs w:val="14"/>
              </w:rPr>
              <w:t>M</w:t>
            </w:r>
            <w:r w:rsidR="00A53FC2">
              <w:rPr>
                <w:rFonts w:cs="Arial"/>
                <w:sz w:val="14"/>
                <w:szCs w:val="14"/>
              </w:rPr>
              <w:t>T</w:t>
            </w:r>
            <w:r w:rsidR="00A53FC2" w:rsidRPr="006007B0">
              <w:rPr>
                <w:rFonts w:cs="Arial"/>
                <w:sz w:val="14"/>
                <w:szCs w:val="14"/>
              </w:rPr>
              <w:t>ons</w:t>
            </w:r>
          </w:p>
          <w:p w:rsidR="006007B0" w:rsidRPr="008B54F2" w:rsidRDefault="006007B0" w:rsidP="006007B0">
            <w:pPr>
              <w:spacing w:before="20" w:after="20"/>
              <w:rPr>
                <w:rFonts w:cs="Arial"/>
                <w:sz w:val="14"/>
                <w:szCs w:val="14"/>
              </w:rPr>
            </w:pPr>
            <w:r w:rsidRPr="006007B0">
              <w:rPr>
                <w:rFonts w:cs="Arial"/>
                <w:sz w:val="14"/>
                <w:szCs w:val="14"/>
              </w:rPr>
              <w:t xml:space="preserve">5/1/2012 onward 7.197 </w:t>
            </w:r>
            <w:r w:rsidR="00A53FC2" w:rsidRPr="006007B0">
              <w:rPr>
                <w:rFonts w:cs="Arial"/>
                <w:sz w:val="14"/>
                <w:szCs w:val="14"/>
              </w:rPr>
              <w:t>M</w:t>
            </w:r>
            <w:r w:rsidR="00A53FC2">
              <w:rPr>
                <w:rFonts w:cs="Arial"/>
                <w:sz w:val="14"/>
                <w:szCs w:val="14"/>
              </w:rPr>
              <w:t>T</w:t>
            </w:r>
            <w:r w:rsidR="00A53FC2" w:rsidRPr="006007B0">
              <w:rPr>
                <w:rFonts w:cs="Arial"/>
                <w:sz w:val="14"/>
                <w:szCs w:val="14"/>
              </w:rPr>
              <w:t>ons</w:t>
            </w:r>
            <w:r w:rsidRPr="006007B0">
              <w:rPr>
                <w:rFonts w:cs="Arial"/>
                <w:sz w:val="14"/>
                <w:szCs w:val="14"/>
              </w:rPr>
              <w:t xml:space="preserve"> (7.227 </w:t>
            </w:r>
            <w:r w:rsidR="00A53FC2" w:rsidRPr="006007B0">
              <w:rPr>
                <w:rFonts w:cs="Arial"/>
                <w:sz w:val="14"/>
                <w:szCs w:val="14"/>
              </w:rPr>
              <w:t>M</w:t>
            </w:r>
            <w:r w:rsidR="00A53FC2">
              <w:rPr>
                <w:rFonts w:cs="Arial"/>
                <w:sz w:val="14"/>
                <w:szCs w:val="14"/>
              </w:rPr>
              <w:t>T</w:t>
            </w:r>
            <w:r w:rsidR="00A53FC2" w:rsidRPr="006007B0">
              <w:rPr>
                <w:rFonts w:cs="Arial"/>
                <w:sz w:val="14"/>
                <w:szCs w:val="14"/>
              </w:rPr>
              <w:t>ons</w:t>
            </w:r>
            <w:r w:rsidRPr="006007B0">
              <w:rPr>
                <w:rFonts w:cs="Arial"/>
                <w:sz w:val="14"/>
                <w:szCs w:val="14"/>
              </w:rPr>
              <w:t xml:space="preserve"> minus the tonnage for R. Paul Smith units 3 and 4 which are retired)</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2009</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Default="000B5BB0" w:rsidP="00CD188D">
            <w:pPr>
              <w:spacing w:before="20" w:after="20"/>
              <w:rPr>
                <w:rFonts w:cs="Arial"/>
                <w:sz w:val="14"/>
                <w:szCs w:val="14"/>
              </w:rPr>
            </w:pPr>
          </w:p>
          <w:p w:rsidR="006007B0" w:rsidRPr="006007B0" w:rsidRDefault="006007B0" w:rsidP="006007B0">
            <w:pPr>
              <w:spacing w:before="20" w:after="20"/>
              <w:rPr>
                <w:rFonts w:cs="Arial"/>
                <w:sz w:val="14"/>
                <w:szCs w:val="14"/>
              </w:rPr>
            </w:pPr>
            <w:r w:rsidRPr="006007B0">
              <w:rPr>
                <w:rFonts w:cs="Arial"/>
                <w:sz w:val="14"/>
                <w:szCs w:val="14"/>
              </w:rPr>
              <w:t xml:space="preserve">48.618 </w:t>
            </w:r>
            <w:r w:rsidR="00A53FC2" w:rsidRPr="006007B0">
              <w:rPr>
                <w:rFonts w:cs="Arial"/>
                <w:sz w:val="14"/>
                <w:szCs w:val="14"/>
              </w:rPr>
              <w:t>M</w:t>
            </w:r>
            <w:r w:rsidR="00A53FC2">
              <w:rPr>
                <w:rFonts w:cs="Arial"/>
                <w:sz w:val="14"/>
                <w:szCs w:val="14"/>
              </w:rPr>
              <w:t>T</w:t>
            </w:r>
            <w:r w:rsidR="00A53FC2" w:rsidRPr="006007B0">
              <w:rPr>
                <w:rFonts w:cs="Arial"/>
                <w:sz w:val="14"/>
                <w:szCs w:val="14"/>
              </w:rPr>
              <w:t>ons</w:t>
            </w:r>
            <w:r w:rsidRPr="006007B0">
              <w:rPr>
                <w:rFonts w:cs="Arial"/>
                <w:sz w:val="14"/>
                <w:szCs w:val="14"/>
              </w:rPr>
              <w:t xml:space="preserve"> from 1/1/2010-12/31/2012 </w:t>
            </w:r>
          </w:p>
          <w:p w:rsidR="006007B0" w:rsidRPr="006007B0" w:rsidRDefault="006007B0" w:rsidP="006007B0">
            <w:pPr>
              <w:spacing w:before="20" w:after="20"/>
              <w:rPr>
                <w:rFonts w:cs="Arial"/>
                <w:sz w:val="14"/>
                <w:szCs w:val="14"/>
              </w:rPr>
            </w:pPr>
          </w:p>
          <w:p w:rsidR="006007B0" w:rsidRPr="008B54F2" w:rsidRDefault="006007B0" w:rsidP="006007B0">
            <w:pPr>
              <w:spacing w:before="20" w:after="20"/>
              <w:rPr>
                <w:rFonts w:cs="Arial"/>
                <w:sz w:val="14"/>
                <w:szCs w:val="14"/>
              </w:rPr>
            </w:pPr>
            <w:r w:rsidRPr="006007B0">
              <w:rPr>
                <w:rFonts w:cs="Arial"/>
                <w:sz w:val="14"/>
                <w:szCs w:val="14"/>
              </w:rPr>
              <w:t xml:space="preserve">36.467 </w:t>
            </w:r>
            <w:r w:rsidR="00A53FC2" w:rsidRPr="006007B0">
              <w:rPr>
                <w:rFonts w:cs="Arial"/>
                <w:sz w:val="14"/>
                <w:szCs w:val="14"/>
              </w:rPr>
              <w:t>M</w:t>
            </w:r>
            <w:r w:rsidR="00A53FC2">
              <w:rPr>
                <w:rFonts w:cs="Arial"/>
                <w:sz w:val="14"/>
                <w:szCs w:val="14"/>
              </w:rPr>
              <w:t>T</w:t>
            </w:r>
            <w:r w:rsidR="00A53FC2" w:rsidRPr="006007B0">
              <w:rPr>
                <w:rFonts w:cs="Arial"/>
                <w:sz w:val="14"/>
                <w:szCs w:val="14"/>
              </w:rPr>
              <w:t>ons</w:t>
            </w:r>
            <w:r w:rsidRPr="006007B0">
              <w:rPr>
                <w:rFonts w:cs="Arial"/>
                <w:sz w:val="14"/>
                <w:szCs w:val="14"/>
              </w:rPr>
              <w:t xml:space="preserve"> from 1/1/2013 onward (37.235 minus the tonnage for R. Paul Smith units 3 and 4 which are retired)</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2010 through 2012: 80% removal of Hg content of fuel for 15 specific existing coal steam units</w:t>
            </w:r>
            <w:r w:rsidRPr="008B54F2">
              <w:rPr>
                <w:rFonts w:cs="Arial"/>
                <w:sz w:val="14"/>
                <w:szCs w:val="14"/>
              </w:rPr>
              <w:br/>
              <w:t>2013 onwards: 90% removal of Hg content of fuel for 15 specific existing coal steam units</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tcPr>
          <w:p w:rsidR="000B5BB0" w:rsidRPr="008B54F2" w:rsidRDefault="000B5BB0" w:rsidP="00CD188D">
            <w:pPr>
              <w:spacing w:before="20" w:after="20"/>
              <w:rPr>
                <w:rFonts w:cs="Arial"/>
                <w:sz w:val="14"/>
                <w:szCs w:val="14"/>
              </w:rPr>
            </w:pPr>
          </w:p>
        </w:tc>
        <w:tc>
          <w:tcPr>
            <w:tcW w:w="1434" w:type="dxa"/>
            <w:vAlign w:val="center"/>
          </w:tcPr>
          <w:p w:rsidR="000B5BB0" w:rsidRPr="00CD188D" w:rsidRDefault="000B5BB0" w:rsidP="00CD188D">
            <w:pPr>
              <w:spacing w:before="20" w:after="20"/>
              <w:rPr>
                <w:rFonts w:cs="Arial"/>
                <w:sz w:val="14"/>
                <w:szCs w:val="14"/>
              </w:rPr>
            </w:pPr>
            <w:r w:rsidRPr="00CD188D">
              <w:rPr>
                <w:rFonts w:cs="Arial"/>
                <w:sz w:val="14"/>
                <w:szCs w:val="14"/>
              </w:rPr>
              <w:t>COMAR 26.11.38</w:t>
            </w:r>
          </w:p>
          <w:p w:rsidR="000B5BB0" w:rsidRPr="008B54F2" w:rsidRDefault="000B5BB0" w:rsidP="00CD188D">
            <w:pPr>
              <w:spacing w:before="20" w:after="20"/>
              <w:rPr>
                <w:rFonts w:cs="Arial"/>
                <w:sz w:val="14"/>
                <w:szCs w:val="14"/>
              </w:rPr>
            </w:pPr>
            <w:r>
              <w:rPr>
                <w:rFonts w:cs="Arial"/>
                <w:sz w:val="14"/>
                <w:szCs w:val="14"/>
              </w:rPr>
              <w:t xml:space="preserve">Control of NOx </w:t>
            </w:r>
            <w:r w:rsidRPr="00CD188D">
              <w:rPr>
                <w:rFonts w:cs="Arial"/>
                <w:sz w:val="14"/>
                <w:szCs w:val="14"/>
              </w:rPr>
              <w:t>Emissions from</w:t>
            </w:r>
            <w:r>
              <w:rPr>
                <w:rFonts w:cs="Arial"/>
                <w:sz w:val="14"/>
                <w:szCs w:val="14"/>
              </w:rPr>
              <w:t xml:space="preserve"> Coal-Fired Electric Generating </w:t>
            </w:r>
            <w:r w:rsidRPr="00CD188D">
              <w:rPr>
                <w:rFonts w:cs="Arial"/>
                <w:sz w:val="14"/>
                <w:szCs w:val="14"/>
              </w:rPr>
              <w:t>Units</w:t>
            </w:r>
          </w:p>
        </w:tc>
        <w:tc>
          <w:tcPr>
            <w:tcW w:w="878"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tcPr>
          <w:p w:rsidR="000B5BB0" w:rsidRDefault="000B5BB0" w:rsidP="00097E43">
            <w:pPr>
              <w:spacing w:before="20" w:after="20"/>
              <w:rPr>
                <w:rFonts w:cs="Arial"/>
                <w:sz w:val="14"/>
                <w:szCs w:val="14"/>
              </w:rPr>
            </w:pPr>
            <w:r>
              <w:rPr>
                <w:rFonts w:cs="Arial"/>
                <w:sz w:val="14"/>
                <w:szCs w:val="14"/>
              </w:rPr>
              <w:t xml:space="preserve">Phase 1: </w:t>
            </w:r>
            <w:r w:rsidRPr="009052ED">
              <w:rPr>
                <w:rFonts w:cs="Arial"/>
                <w:sz w:val="14"/>
                <w:szCs w:val="14"/>
              </w:rPr>
              <w:t>requires all of the affected units to minimize NO</w:t>
            </w:r>
            <w:r w:rsidRPr="00CE4460">
              <w:rPr>
                <w:rFonts w:cs="Arial"/>
                <w:sz w:val="14"/>
                <w:szCs w:val="14"/>
                <w:vertAlign w:val="subscript"/>
              </w:rPr>
              <w:t>x</w:t>
            </w:r>
            <w:r w:rsidRPr="009052ED">
              <w:rPr>
                <w:rFonts w:cs="Arial"/>
                <w:sz w:val="14"/>
                <w:szCs w:val="14"/>
              </w:rPr>
              <w:t xml:space="preserve"> emissions every day of the </w:t>
            </w:r>
            <w:r w:rsidR="006007B0" w:rsidRPr="006007B0">
              <w:rPr>
                <w:rFonts w:cs="Arial"/>
                <w:sz w:val="14"/>
                <w:szCs w:val="14"/>
              </w:rPr>
              <w:t xml:space="preserve">ozone season (5/1-9/30) </w:t>
            </w:r>
            <w:r w:rsidRPr="009052ED">
              <w:rPr>
                <w:rFonts w:cs="Arial"/>
                <w:sz w:val="14"/>
                <w:szCs w:val="14"/>
              </w:rPr>
              <w:t xml:space="preserve">by optimizing the pollution controls that are already in place. </w:t>
            </w:r>
          </w:p>
          <w:p w:rsidR="000B5BB0" w:rsidRDefault="000B5BB0" w:rsidP="00097E43">
            <w:pPr>
              <w:spacing w:before="20" w:after="20"/>
              <w:rPr>
                <w:rFonts w:cs="Arial"/>
                <w:sz w:val="14"/>
                <w:szCs w:val="14"/>
              </w:rPr>
            </w:pPr>
          </w:p>
          <w:p w:rsidR="000B5BB0" w:rsidRDefault="000B5BB0" w:rsidP="009052ED">
            <w:pPr>
              <w:spacing w:before="20" w:after="20"/>
              <w:rPr>
                <w:rFonts w:cs="Arial"/>
                <w:sz w:val="14"/>
                <w:szCs w:val="14"/>
              </w:rPr>
            </w:pPr>
            <w:r>
              <w:rPr>
                <w:rFonts w:cs="Arial"/>
                <w:sz w:val="14"/>
                <w:szCs w:val="14"/>
              </w:rPr>
              <w:t xml:space="preserve">Phase 2: </w:t>
            </w:r>
            <w:r w:rsidRPr="009052ED">
              <w:rPr>
                <w:rFonts w:cs="Arial"/>
                <w:sz w:val="14"/>
                <w:szCs w:val="14"/>
              </w:rPr>
              <w:t xml:space="preserve">requires the owner or operator of units that have not installed </w:t>
            </w:r>
            <w:r>
              <w:rPr>
                <w:rFonts w:cs="Arial"/>
                <w:sz w:val="14"/>
                <w:szCs w:val="14"/>
              </w:rPr>
              <w:t>SCR</w:t>
            </w:r>
            <w:r w:rsidRPr="009052ED">
              <w:rPr>
                <w:rFonts w:cs="Arial"/>
                <w:sz w:val="14"/>
                <w:szCs w:val="14"/>
              </w:rPr>
              <w:t xml:space="preserve"> (H. A. Wagner Unit 2, C. P. Crane Units 1 and 2, Chalk Point Unit 2, and Dickerson Units 1, 2 and 3) to choose from the following:</w:t>
            </w:r>
          </w:p>
          <w:p w:rsidR="000B5BB0" w:rsidRPr="009052ED" w:rsidRDefault="000B5BB0" w:rsidP="009052ED">
            <w:pPr>
              <w:spacing w:before="20" w:after="20"/>
              <w:rPr>
                <w:rFonts w:cs="Arial"/>
                <w:sz w:val="14"/>
                <w:szCs w:val="14"/>
              </w:rPr>
            </w:pPr>
          </w:p>
          <w:p w:rsidR="000B5BB0" w:rsidRDefault="000B5BB0" w:rsidP="009052ED">
            <w:pPr>
              <w:spacing w:before="20" w:after="20"/>
              <w:rPr>
                <w:rFonts w:cs="Arial"/>
                <w:sz w:val="14"/>
                <w:szCs w:val="14"/>
              </w:rPr>
            </w:pPr>
            <w:r w:rsidRPr="009052ED">
              <w:rPr>
                <w:rFonts w:cs="Arial"/>
                <w:sz w:val="14"/>
                <w:szCs w:val="14"/>
              </w:rPr>
              <w:t>Option 1—By June 1, 2020, install and operate an SCR control system that can meet a NO</w:t>
            </w:r>
            <w:r w:rsidRPr="00CE4460">
              <w:rPr>
                <w:rFonts w:cs="Arial"/>
                <w:sz w:val="14"/>
                <w:szCs w:val="14"/>
                <w:vertAlign w:val="subscript"/>
              </w:rPr>
              <w:t>x</w:t>
            </w:r>
            <w:r w:rsidRPr="009052ED">
              <w:rPr>
                <w:rFonts w:cs="Arial"/>
                <w:sz w:val="14"/>
                <w:szCs w:val="14"/>
              </w:rPr>
              <w:t xml:space="preserve"> emission rate of 0.09 lbs/MMBtu during the ozone season based on a 30-day rolling average;</w:t>
            </w:r>
          </w:p>
          <w:p w:rsidR="000B5BB0" w:rsidRPr="009052ED" w:rsidRDefault="000B5BB0" w:rsidP="009052ED">
            <w:pPr>
              <w:spacing w:before="20" w:after="20"/>
              <w:rPr>
                <w:rFonts w:cs="Arial"/>
                <w:sz w:val="14"/>
                <w:szCs w:val="14"/>
              </w:rPr>
            </w:pPr>
          </w:p>
          <w:p w:rsidR="000B5BB0" w:rsidRDefault="000B5BB0" w:rsidP="009052ED">
            <w:pPr>
              <w:spacing w:before="20" w:after="20"/>
              <w:rPr>
                <w:rFonts w:cs="Arial"/>
                <w:sz w:val="14"/>
                <w:szCs w:val="14"/>
              </w:rPr>
            </w:pPr>
            <w:r w:rsidRPr="009052ED">
              <w:rPr>
                <w:rFonts w:cs="Arial"/>
                <w:sz w:val="14"/>
                <w:szCs w:val="14"/>
              </w:rPr>
              <w:t>Option 2—By June 1, 2020, permanently retire the unit;</w:t>
            </w:r>
          </w:p>
          <w:p w:rsidR="000B5BB0" w:rsidRPr="009052ED" w:rsidRDefault="000B5BB0" w:rsidP="009052ED">
            <w:pPr>
              <w:spacing w:before="20" w:after="20"/>
              <w:rPr>
                <w:rFonts w:cs="Arial"/>
                <w:sz w:val="14"/>
                <w:szCs w:val="14"/>
              </w:rPr>
            </w:pPr>
          </w:p>
          <w:p w:rsidR="000B5BB0" w:rsidRDefault="000B5BB0" w:rsidP="009052ED">
            <w:pPr>
              <w:spacing w:before="20" w:after="20"/>
              <w:rPr>
                <w:rFonts w:cs="Arial"/>
                <w:sz w:val="14"/>
                <w:szCs w:val="14"/>
              </w:rPr>
            </w:pPr>
            <w:r w:rsidRPr="009052ED">
              <w:rPr>
                <w:rFonts w:cs="Arial"/>
                <w:sz w:val="14"/>
                <w:szCs w:val="14"/>
              </w:rPr>
              <w:t>Option 3—By June 1, 2020, switch fuel permanently from coal to natural gas and operate the unit on natural gas; or</w:t>
            </w:r>
          </w:p>
          <w:p w:rsidR="000B5BB0" w:rsidRPr="009052ED" w:rsidRDefault="000B5BB0" w:rsidP="009052ED">
            <w:pPr>
              <w:spacing w:before="20" w:after="20"/>
              <w:rPr>
                <w:rFonts w:cs="Arial"/>
                <w:sz w:val="14"/>
                <w:szCs w:val="14"/>
              </w:rPr>
            </w:pPr>
          </w:p>
          <w:p w:rsidR="000B5BB0" w:rsidRPr="009052ED" w:rsidRDefault="000B5BB0" w:rsidP="009052ED">
            <w:pPr>
              <w:spacing w:before="20" w:after="20"/>
              <w:rPr>
                <w:rFonts w:cs="Arial"/>
                <w:sz w:val="14"/>
                <w:szCs w:val="14"/>
              </w:rPr>
            </w:pPr>
            <w:r w:rsidRPr="009052ED">
              <w:rPr>
                <w:rFonts w:cs="Arial"/>
                <w:sz w:val="14"/>
                <w:szCs w:val="14"/>
              </w:rPr>
              <w:t>Option 4—By June 1, 2020, meet a system</w:t>
            </w:r>
            <w:r>
              <w:rPr>
                <w:rFonts w:cs="Arial"/>
                <w:sz w:val="14"/>
                <w:szCs w:val="14"/>
              </w:rPr>
              <w:t xml:space="preserve"> </w:t>
            </w:r>
            <w:r w:rsidRPr="009052ED">
              <w:rPr>
                <w:rFonts w:cs="Arial"/>
                <w:sz w:val="14"/>
                <w:szCs w:val="14"/>
              </w:rPr>
              <w:t>wide, daily NO</w:t>
            </w:r>
            <w:r w:rsidRPr="00CE4460">
              <w:rPr>
                <w:rFonts w:cs="Arial"/>
                <w:sz w:val="14"/>
                <w:szCs w:val="14"/>
                <w:vertAlign w:val="subscript"/>
              </w:rPr>
              <w:t>x</w:t>
            </w:r>
            <w:r w:rsidRPr="009052ED">
              <w:rPr>
                <w:rFonts w:cs="Arial"/>
                <w:sz w:val="14"/>
                <w:szCs w:val="14"/>
              </w:rPr>
              <w:t xml:space="preserve"> tonnage cap of 21 tons per day for every day of the ozone season or meet a system</w:t>
            </w:r>
            <w:r>
              <w:rPr>
                <w:rFonts w:cs="Arial"/>
                <w:sz w:val="14"/>
                <w:szCs w:val="14"/>
              </w:rPr>
              <w:t xml:space="preserve"> </w:t>
            </w:r>
            <w:r w:rsidRPr="009052ED">
              <w:rPr>
                <w:rFonts w:cs="Arial"/>
                <w:sz w:val="14"/>
                <w:szCs w:val="14"/>
              </w:rPr>
              <w:t>wide NO</w:t>
            </w:r>
            <w:r w:rsidRPr="00CE4460">
              <w:rPr>
                <w:rFonts w:cs="Arial"/>
                <w:sz w:val="14"/>
                <w:szCs w:val="14"/>
                <w:vertAlign w:val="subscript"/>
              </w:rPr>
              <w:t>x</w:t>
            </w:r>
            <w:r w:rsidRPr="009052ED">
              <w:rPr>
                <w:rFonts w:cs="Arial"/>
                <w:sz w:val="14"/>
                <w:szCs w:val="14"/>
              </w:rPr>
              <w:t xml:space="preserve"> emission rate of 0.13 lbs/MMBtu as a 24-hour block average. The rate and the cap in option 4 are consistent with levels assuming SCR controls on all units. If option 4 is selected, deeper reductions starting in May 2016, 2018 and 2020 must also be achieved. </w:t>
            </w:r>
          </w:p>
          <w:p w:rsidR="000B5BB0" w:rsidRPr="009052ED" w:rsidRDefault="000B5BB0" w:rsidP="009052ED">
            <w:pPr>
              <w:spacing w:before="20" w:after="20"/>
              <w:rPr>
                <w:rFonts w:cs="Arial"/>
                <w:sz w:val="14"/>
                <w:szCs w:val="14"/>
              </w:rPr>
            </w:pPr>
            <w:r w:rsidRPr="009052ED">
              <w:rPr>
                <w:rFonts w:cs="Arial"/>
                <w:sz w:val="14"/>
                <w:szCs w:val="14"/>
              </w:rPr>
              <w:t>2016—Meet a 30-day system</w:t>
            </w:r>
            <w:r>
              <w:rPr>
                <w:rFonts w:cs="Arial"/>
                <w:sz w:val="14"/>
                <w:szCs w:val="14"/>
              </w:rPr>
              <w:t xml:space="preserve"> </w:t>
            </w:r>
            <w:r w:rsidRPr="009052ED">
              <w:rPr>
                <w:rFonts w:cs="Arial"/>
                <w:sz w:val="14"/>
                <w:szCs w:val="14"/>
              </w:rPr>
              <w:t>wide rolling average NO</w:t>
            </w:r>
            <w:r w:rsidRPr="00CE4460">
              <w:rPr>
                <w:rFonts w:cs="Arial"/>
                <w:sz w:val="14"/>
                <w:szCs w:val="14"/>
                <w:vertAlign w:val="subscript"/>
              </w:rPr>
              <w:t>x</w:t>
            </w:r>
            <w:r w:rsidRPr="009052ED">
              <w:rPr>
                <w:rFonts w:cs="Arial"/>
                <w:sz w:val="14"/>
                <w:szCs w:val="14"/>
              </w:rPr>
              <w:t xml:space="preserve"> emission rate of 0.13 lbs/MMBtu during the ozone season.</w:t>
            </w:r>
          </w:p>
          <w:p w:rsidR="000B5BB0" w:rsidRPr="009052ED" w:rsidRDefault="000B5BB0" w:rsidP="009052ED">
            <w:pPr>
              <w:spacing w:before="20" w:after="20"/>
              <w:rPr>
                <w:rFonts w:cs="Arial"/>
                <w:sz w:val="14"/>
                <w:szCs w:val="14"/>
              </w:rPr>
            </w:pPr>
            <w:r w:rsidRPr="009052ED">
              <w:rPr>
                <w:rFonts w:cs="Arial"/>
                <w:sz w:val="14"/>
                <w:szCs w:val="14"/>
              </w:rPr>
              <w:t>2018—Meet a 30-day system</w:t>
            </w:r>
            <w:r>
              <w:rPr>
                <w:rFonts w:cs="Arial"/>
                <w:sz w:val="14"/>
                <w:szCs w:val="14"/>
              </w:rPr>
              <w:t xml:space="preserve"> </w:t>
            </w:r>
            <w:r w:rsidRPr="009052ED">
              <w:rPr>
                <w:rFonts w:cs="Arial"/>
                <w:sz w:val="14"/>
                <w:szCs w:val="14"/>
              </w:rPr>
              <w:t>wide rolling average NO</w:t>
            </w:r>
            <w:r w:rsidRPr="00CE4460">
              <w:rPr>
                <w:rFonts w:cs="Arial"/>
                <w:sz w:val="14"/>
                <w:szCs w:val="14"/>
                <w:vertAlign w:val="subscript"/>
              </w:rPr>
              <w:t>x</w:t>
            </w:r>
            <w:r w:rsidRPr="009052ED">
              <w:rPr>
                <w:rFonts w:cs="Arial"/>
                <w:sz w:val="14"/>
                <w:szCs w:val="14"/>
              </w:rPr>
              <w:t xml:space="preserve"> emission rate of 0.11 lbs/MMBtu during the ozone season.</w:t>
            </w:r>
          </w:p>
          <w:p w:rsidR="000B5BB0" w:rsidRDefault="000B5BB0" w:rsidP="009052ED">
            <w:pPr>
              <w:spacing w:before="20" w:after="20"/>
              <w:rPr>
                <w:rFonts w:cs="Arial"/>
                <w:sz w:val="14"/>
                <w:szCs w:val="14"/>
              </w:rPr>
            </w:pPr>
            <w:r w:rsidRPr="009052ED">
              <w:rPr>
                <w:rFonts w:cs="Arial"/>
                <w:sz w:val="14"/>
                <w:szCs w:val="14"/>
              </w:rPr>
              <w:t>2020—Meet a 30-day system</w:t>
            </w:r>
            <w:r>
              <w:rPr>
                <w:rFonts w:cs="Arial"/>
                <w:sz w:val="14"/>
                <w:szCs w:val="14"/>
              </w:rPr>
              <w:t xml:space="preserve"> </w:t>
            </w:r>
            <w:r w:rsidRPr="009052ED">
              <w:rPr>
                <w:rFonts w:cs="Arial"/>
                <w:sz w:val="14"/>
                <w:szCs w:val="14"/>
              </w:rPr>
              <w:t>wide rolling average NO</w:t>
            </w:r>
            <w:r w:rsidRPr="00CE4460">
              <w:rPr>
                <w:rFonts w:cs="Arial"/>
                <w:sz w:val="14"/>
                <w:szCs w:val="14"/>
                <w:vertAlign w:val="subscript"/>
              </w:rPr>
              <w:t>x</w:t>
            </w:r>
            <w:r w:rsidRPr="009052ED">
              <w:rPr>
                <w:rFonts w:cs="Arial"/>
                <w:sz w:val="14"/>
                <w:szCs w:val="14"/>
              </w:rPr>
              <w:t xml:space="preserve"> emission rate of 0.09 lbs/MMBtu during the ozone season.</w:t>
            </w:r>
          </w:p>
          <w:p w:rsidR="000B5BB0" w:rsidRPr="009052ED" w:rsidRDefault="000B5BB0" w:rsidP="009052ED">
            <w:pPr>
              <w:spacing w:before="20" w:after="20"/>
              <w:rPr>
                <w:rFonts w:cs="Arial"/>
                <w:sz w:val="14"/>
                <w:szCs w:val="14"/>
              </w:rPr>
            </w:pPr>
          </w:p>
          <w:p w:rsidR="000B5BB0" w:rsidRDefault="000B5BB0" w:rsidP="009052ED">
            <w:pPr>
              <w:spacing w:before="20" w:after="20"/>
              <w:rPr>
                <w:rFonts w:cs="Arial"/>
                <w:sz w:val="14"/>
                <w:szCs w:val="14"/>
              </w:rPr>
            </w:pPr>
            <w:r w:rsidRPr="009052ED">
              <w:rPr>
                <w:rFonts w:cs="Arial"/>
                <w:sz w:val="14"/>
                <w:szCs w:val="14"/>
              </w:rPr>
              <w:t>Without option 4, the allowable 30-day system</w:t>
            </w:r>
            <w:r>
              <w:rPr>
                <w:rFonts w:cs="Arial"/>
                <w:sz w:val="14"/>
                <w:szCs w:val="14"/>
              </w:rPr>
              <w:t xml:space="preserve"> </w:t>
            </w:r>
            <w:r w:rsidRPr="009052ED">
              <w:rPr>
                <w:rFonts w:cs="Arial"/>
                <w:sz w:val="14"/>
                <w:szCs w:val="14"/>
              </w:rPr>
              <w:t>wide rolling average NO</w:t>
            </w:r>
            <w:r w:rsidRPr="00CE4460">
              <w:rPr>
                <w:rFonts w:cs="Arial"/>
                <w:sz w:val="14"/>
                <w:szCs w:val="14"/>
                <w:vertAlign w:val="subscript"/>
              </w:rPr>
              <w:t>x</w:t>
            </w:r>
            <w:r w:rsidRPr="009052ED">
              <w:rPr>
                <w:rFonts w:cs="Arial"/>
                <w:sz w:val="14"/>
                <w:szCs w:val="14"/>
              </w:rPr>
              <w:t xml:space="preserve"> emission rate is 0.15 lbs/MMBtu during the ozone season. </w:t>
            </w:r>
          </w:p>
          <w:p w:rsidR="000B5BB0" w:rsidRPr="009052ED" w:rsidRDefault="000B5BB0" w:rsidP="009052ED">
            <w:pPr>
              <w:spacing w:before="20" w:after="20"/>
              <w:rPr>
                <w:rFonts w:cs="Arial"/>
                <w:sz w:val="14"/>
                <w:szCs w:val="14"/>
              </w:rPr>
            </w:pPr>
          </w:p>
          <w:p w:rsidR="000B5BB0" w:rsidRDefault="000B5BB0" w:rsidP="009052ED">
            <w:pPr>
              <w:spacing w:before="20" w:after="20"/>
              <w:rPr>
                <w:rFonts w:cs="Arial"/>
                <w:sz w:val="14"/>
                <w:szCs w:val="14"/>
              </w:rPr>
            </w:pPr>
            <w:r w:rsidRPr="009052ED">
              <w:rPr>
                <w:rFonts w:cs="Arial"/>
                <w:sz w:val="14"/>
                <w:szCs w:val="14"/>
              </w:rPr>
              <w:t>Option 4 also includes provisions to ensure that the reliability of the electrical system is maintained.</w:t>
            </w:r>
          </w:p>
          <w:p w:rsidR="000B5BB0" w:rsidRPr="008B54F2" w:rsidRDefault="000B5BB0" w:rsidP="009052ED">
            <w:pPr>
              <w:spacing w:before="20" w:after="20"/>
              <w:rPr>
                <w:rFonts w:cs="Arial"/>
                <w:sz w:val="14"/>
                <w:szCs w:val="14"/>
              </w:rPr>
            </w:pPr>
          </w:p>
        </w:tc>
        <w:tc>
          <w:tcPr>
            <w:tcW w:w="1350" w:type="dxa"/>
            <w:vAlign w:val="center"/>
          </w:tcPr>
          <w:p w:rsidR="000B5BB0" w:rsidRDefault="000B5BB0" w:rsidP="00CE4460">
            <w:pPr>
              <w:spacing w:before="20" w:after="20"/>
              <w:jc w:val="center"/>
              <w:rPr>
                <w:rFonts w:cs="Arial"/>
                <w:sz w:val="14"/>
                <w:szCs w:val="14"/>
              </w:rPr>
            </w:pPr>
            <w:r w:rsidRPr="009052ED">
              <w:rPr>
                <w:rFonts w:cs="Arial"/>
                <w:sz w:val="14"/>
                <w:szCs w:val="14"/>
              </w:rPr>
              <w:t xml:space="preserve">Phase 1: </w:t>
            </w:r>
            <w:r w:rsidRPr="00097E43">
              <w:rPr>
                <w:rFonts w:cs="Arial"/>
                <w:sz w:val="14"/>
                <w:szCs w:val="14"/>
              </w:rPr>
              <w:t>May 1, 2015</w:t>
            </w:r>
          </w:p>
          <w:p w:rsidR="000B5BB0" w:rsidRDefault="000B5BB0" w:rsidP="00CE4460">
            <w:pPr>
              <w:spacing w:before="20" w:after="20"/>
              <w:jc w:val="center"/>
              <w:rPr>
                <w:rFonts w:cs="Arial"/>
                <w:sz w:val="14"/>
                <w:szCs w:val="14"/>
              </w:rPr>
            </w:pPr>
          </w:p>
          <w:p w:rsidR="000B5BB0" w:rsidRPr="008B54F2" w:rsidRDefault="000B5BB0" w:rsidP="00CE4460">
            <w:pPr>
              <w:spacing w:before="20" w:after="20"/>
              <w:jc w:val="center"/>
              <w:rPr>
                <w:rFonts w:cs="Arial"/>
                <w:sz w:val="14"/>
                <w:szCs w:val="14"/>
              </w:rPr>
            </w:pPr>
            <w:r>
              <w:rPr>
                <w:rFonts w:cs="Arial"/>
                <w:sz w:val="14"/>
                <w:szCs w:val="14"/>
              </w:rPr>
              <w:t>Phase 2:2020</w:t>
            </w:r>
          </w:p>
        </w:tc>
        <w:tc>
          <w:tcPr>
            <w:tcW w:w="3078" w:type="dxa"/>
            <w:vAlign w:val="center"/>
          </w:tcPr>
          <w:p w:rsidR="000B5BB0" w:rsidRDefault="000B5BB0" w:rsidP="009052ED">
            <w:pPr>
              <w:spacing w:before="20" w:after="20"/>
              <w:rPr>
                <w:rFonts w:cs="Arial"/>
                <w:sz w:val="14"/>
                <w:szCs w:val="14"/>
              </w:rPr>
            </w:pPr>
            <w:r w:rsidRPr="00097E43">
              <w:rPr>
                <w:rFonts w:cs="Arial"/>
                <w:sz w:val="14"/>
                <w:szCs w:val="14"/>
              </w:rPr>
              <w:t xml:space="preserve">Affected EGUs </w:t>
            </w:r>
            <w:r>
              <w:rPr>
                <w:rFonts w:cs="Arial"/>
                <w:sz w:val="14"/>
                <w:szCs w:val="14"/>
              </w:rPr>
              <w:t>are</w:t>
            </w:r>
            <w:r w:rsidRPr="009052ED">
              <w:rPr>
                <w:rFonts w:cs="Arial"/>
                <w:sz w:val="14"/>
                <w:szCs w:val="14"/>
              </w:rPr>
              <w:t xml:space="preserve"> all coal-fired EGUs owned by Raven Power Finance LLC (Raven Power) and NRG Energy, Inc. (NRG) in Maryland. </w:t>
            </w:r>
          </w:p>
          <w:p w:rsidR="000B5BB0" w:rsidRDefault="000B5BB0" w:rsidP="009052ED">
            <w:pPr>
              <w:spacing w:before="20" w:after="20"/>
              <w:rPr>
                <w:rFonts w:cs="Arial"/>
                <w:sz w:val="14"/>
                <w:szCs w:val="14"/>
              </w:rPr>
            </w:pPr>
          </w:p>
          <w:p w:rsidR="000B5BB0" w:rsidRDefault="000B5BB0" w:rsidP="009052ED">
            <w:pPr>
              <w:spacing w:before="20" w:after="20"/>
              <w:rPr>
                <w:rFonts w:cs="Arial"/>
                <w:sz w:val="14"/>
                <w:szCs w:val="14"/>
              </w:rPr>
            </w:pPr>
            <w:r w:rsidRPr="009052ED">
              <w:rPr>
                <w:rFonts w:cs="Arial"/>
                <w:sz w:val="14"/>
                <w:szCs w:val="14"/>
              </w:rPr>
              <w:t xml:space="preserve">Plants that are part of the Raven system include Brandon Shores Units 1 and 2, H. A. Wagner Units 2 and 3, and C. P. Crane Units 1 and 2. </w:t>
            </w:r>
          </w:p>
          <w:p w:rsidR="000B5BB0" w:rsidRDefault="000B5BB0" w:rsidP="009052ED">
            <w:pPr>
              <w:spacing w:before="20" w:after="20"/>
              <w:rPr>
                <w:rFonts w:cs="Arial"/>
                <w:sz w:val="14"/>
                <w:szCs w:val="14"/>
              </w:rPr>
            </w:pPr>
          </w:p>
          <w:p w:rsidR="000B5BB0" w:rsidRDefault="000B5BB0" w:rsidP="009052ED">
            <w:pPr>
              <w:spacing w:before="20" w:after="20"/>
              <w:rPr>
                <w:rFonts w:cs="Arial"/>
                <w:sz w:val="14"/>
                <w:szCs w:val="14"/>
              </w:rPr>
            </w:pPr>
            <w:r w:rsidRPr="009052ED">
              <w:rPr>
                <w:rFonts w:cs="Arial"/>
                <w:sz w:val="14"/>
                <w:szCs w:val="14"/>
              </w:rPr>
              <w:t>Plants that are part of the NRG system include: Morgantown Units 1 and 2, Chalk Point Units 1 and 2, and Dickerson Units 1, 2 and 3.</w:t>
            </w:r>
          </w:p>
          <w:p w:rsidR="006007B0" w:rsidRDefault="006007B0" w:rsidP="009052ED">
            <w:pPr>
              <w:spacing w:before="20" w:after="20"/>
              <w:rPr>
                <w:rFonts w:cs="Arial"/>
                <w:sz w:val="14"/>
                <w:szCs w:val="14"/>
              </w:rPr>
            </w:pPr>
          </w:p>
          <w:p w:rsidR="006007B0" w:rsidRPr="008B54F2" w:rsidRDefault="006007B0" w:rsidP="009052ED">
            <w:pPr>
              <w:spacing w:before="20" w:after="20"/>
              <w:rPr>
                <w:rFonts w:cs="Arial"/>
                <w:sz w:val="14"/>
                <w:szCs w:val="14"/>
              </w:rPr>
            </w:pPr>
            <w:r w:rsidRPr="006007B0">
              <w:rPr>
                <w:rFonts w:cs="Arial"/>
                <w:sz w:val="14"/>
                <w:szCs w:val="14"/>
              </w:rPr>
              <w:t>The Crane units were sold on or around 2/16/2016 and are no longer part of the Raven System.</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Massachusetts</w:t>
            </w: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310 CMR 7.29</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1.5 lbs/MWh annual GPS for Brayton Point, Mystic Generating Station, Mount Tom, Canal, and Salem Harbor</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2006</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3.0 lbs/MWh annual GPS for Brayton Point, Mystic Generating Station, Mount Tom, Canal, and Salem Harbor</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2012: 85% removal of Hg content of fuel or 0.0000025 lbs/MWh annual GPS for Brayton Point, Mystic Generating Station,  Mount Tom, Canal, and Salem Harbor </w:t>
            </w:r>
            <w:r w:rsidRPr="008B54F2">
              <w:rPr>
                <w:rFonts w:cs="Arial"/>
                <w:sz w:val="14"/>
                <w:szCs w:val="14"/>
              </w:rPr>
              <w:br/>
              <w:t>2013 onwards: 95% removal of Hg content of fuel or 0.0000025 lbs/MWh annual GPS for Brayton Point, Mystic Generating Station, Mount Tom, Canal, and Salem Harbor</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Brayton units 1 through 3 have an annual Hg cap of 0.0000733 MTons</w:t>
            </w:r>
            <w:r w:rsidRPr="008B54F2">
              <w:rPr>
                <w:rFonts w:cs="Arial"/>
                <w:sz w:val="14"/>
                <w:szCs w:val="14"/>
              </w:rPr>
              <w:br/>
              <w:t>Mt. Tom 1 has an annual Hg cap of 0.00000205 MTons</w:t>
            </w:r>
            <w:r w:rsidRPr="008B54F2">
              <w:rPr>
                <w:rFonts w:cs="Arial"/>
                <w:sz w:val="14"/>
                <w:szCs w:val="14"/>
              </w:rPr>
              <w:br/>
              <w:t>Salem Harbor units 1 through 3 have an annual Hg cap of 0.0000106 MTons</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310 CMR 7.04</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Sulfur in Fuel Oil Rule requires the use of 0.5% sulfur residual oil [0.52 lbs/MMBtu] by July 1, 2014 for units greater than 250 MMBtu energy input; by July 1, 2018 for all residual oil units except for those located in the Berkshire APCD.</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2014</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Fuel rule modeled through unit emission rates</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lastRenderedPageBreak/>
              <w:t>Michigan</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Part 18 Rules –  R 336.1801 (2) (a)</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For all fossil units &gt; 25 MW, and annual PTE of NO</w:t>
            </w:r>
            <w:r w:rsidRPr="008B54F2">
              <w:rPr>
                <w:rFonts w:cs="Arial"/>
                <w:sz w:val="14"/>
                <w:szCs w:val="14"/>
                <w:vertAlign w:val="subscript"/>
              </w:rPr>
              <w:t>x</w:t>
            </w:r>
            <w:r w:rsidRPr="008B54F2">
              <w:rPr>
                <w:rFonts w:cs="Arial"/>
                <w:sz w:val="14"/>
                <w:szCs w:val="14"/>
              </w:rPr>
              <w:t xml:space="preserve"> &gt;25 tons,</w:t>
            </w:r>
            <w:r w:rsidR="00BA5490">
              <w:rPr>
                <w:rFonts w:cs="Arial"/>
                <w:sz w:val="14"/>
                <w:szCs w:val="14"/>
              </w:rPr>
              <w:t>0</w:t>
            </w:r>
            <w:r w:rsidRPr="008B54F2">
              <w:rPr>
                <w:rFonts w:cs="Arial"/>
                <w:sz w:val="14"/>
                <w:szCs w:val="14"/>
              </w:rPr>
              <w:t>.25 lbs/MMBtu ozone  season rate, OR 65% NO</w:t>
            </w:r>
            <w:r w:rsidRPr="008B54F2">
              <w:rPr>
                <w:rFonts w:cs="Arial"/>
                <w:sz w:val="14"/>
                <w:szCs w:val="14"/>
                <w:vertAlign w:val="subscript"/>
              </w:rPr>
              <w:t>x</w:t>
            </w:r>
            <w:r w:rsidRPr="008B54F2">
              <w:rPr>
                <w:rFonts w:cs="Arial"/>
                <w:sz w:val="14"/>
                <w:szCs w:val="14"/>
              </w:rPr>
              <w:t xml:space="preserve"> reductions from 1990 levels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2004</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vAlign w:val="center"/>
            <w:hideMark/>
          </w:tcPr>
          <w:p w:rsidR="000B5BB0" w:rsidRDefault="000B5BB0" w:rsidP="00CD188D">
            <w:pPr>
              <w:spacing w:before="20" w:after="20"/>
              <w:jc w:val="center"/>
              <w:rPr>
                <w:rFonts w:cs="Arial"/>
                <w:sz w:val="14"/>
                <w:szCs w:val="14"/>
              </w:rPr>
            </w:pPr>
          </w:p>
          <w:p w:rsidR="000A5DEC" w:rsidRPr="008B54F2" w:rsidRDefault="000A5DEC" w:rsidP="00CD188D">
            <w:pPr>
              <w:spacing w:before="20" w:after="20"/>
              <w:jc w:val="center"/>
              <w:rPr>
                <w:rFonts w:cs="Arial"/>
                <w:sz w:val="14"/>
                <w:szCs w:val="14"/>
              </w:rPr>
            </w:pPr>
            <w:r w:rsidRPr="000A5DEC">
              <w:rPr>
                <w:rFonts w:cs="Arial"/>
                <w:sz w:val="14"/>
                <w:szCs w:val="14"/>
              </w:rPr>
              <w:t>Part 4 Rules – R 336.1401</w:t>
            </w:r>
          </w:p>
        </w:tc>
        <w:tc>
          <w:tcPr>
            <w:tcW w:w="8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SO</w:t>
            </w:r>
            <w:r w:rsidRPr="008B54F2">
              <w:rPr>
                <w:rFonts w:cs="Arial"/>
                <w:sz w:val="14"/>
                <w:szCs w:val="14"/>
                <w:vertAlign w:val="subscript"/>
              </w:rPr>
              <w:t>2</w:t>
            </w:r>
            <w:r w:rsidRPr="008B54F2">
              <w:rPr>
                <w:rFonts w:cs="Arial"/>
                <w:sz w:val="14"/>
                <w:szCs w:val="14"/>
              </w:rPr>
              <w:t xml:space="preserve"> ppmvd rates in 50% excess air for units in Wayne county: Pulverized coal: 550;Other coal: 420;Distillate oil Nos. 1 &amp; 2: 120;Used oil: 300;Crude and Heavy oil: 400</w:t>
            </w:r>
          </w:p>
        </w:tc>
        <w:tc>
          <w:tcPr>
            <w:tcW w:w="1350" w:type="dxa"/>
            <w:vMerge w:val="restart"/>
            <w:shd w:val="clear" w:color="000000" w:fill="FFFFFF"/>
            <w:noWrap/>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Not modeled in IPM as limits are within SIP rates</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7C3F0B" w:rsidRDefault="000B5BB0" w:rsidP="00CD188D">
            <w:pPr>
              <w:spacing w:before="20" w:after="20"/>
              <w:rPr>
                <w:rFonts w:cs="Arial"/>
                <w:sz w:val="14"/>
                <w:szCs w:val="14"/>
              </w:rPr>
            </w:pPr>
            <w:r w:rsidRPr="008B54F2">
              <w:rPr>
                <w:rFonts w:cs="Arial"/>
                <w:sz w:val="14"/>
                <w:szCs w:val="14"/>
              </w:rPr>
              <w:t xml:space="preserve">For all other units, </w:t>
            </w:r>
            <w:r w:rsidRPr="008B54F2">
              <w:rPr>
                <w:rFonts w:cs="Arial"/>
                <w:sz w:val="14"/>
                <w:szCs w:val="14"/>
              </w:rPr>
              <w:br/>
              <w:t>with 0-500,000 lbs Steam per Hour Plant Capacity: 2.5</w:t>
            </w:r>
          </w:p>
          <w:p w:rsidR="000B5BB0" w:rsidRDefault="007C3F0B" w:rsidP="00CD188D">
            <w:pPr>
              <w:spacing w:before="20" w:after="20"/>
              <w:rPr>
                <w:rFonts w:cs="Arial"/>
                <w:sz w:val="14"/>
                <w:szCs w:val="14"/>
              </w:rPr>
            </w:pPr>
            <w:r w:rsidRPr="007C3F0B">
              <w:rPr>
                <w:rFonts w:cs="Arial"/>
                <w:sz w:val="14"/>
                <w:szCs w:val="14"/>
              </w:rPr>
              <w:t>SO</w:t>
            </w:r>
            <w:r w:rsidRPr="002967A9">
              <w:rPr>
                <w:rFonts w:cs="Arial"/>
                <w:sz w:val="14"/>
                <w:szCs w:val="14"/>
                <w:vertAlign w:val="subscript"/>
              </w:rPr>
              <w:t>2</w:t>
            </w:r>
            <w:r w:rsidRPr="007C3F0B">
              <w:rPr>
                <w:rFonts w:cs="Arial"/>
                <w:sz w:val="14"/>
                <w:szCs w:val="14"/>
              </w:rPr>
              <w:t xml:space="preserve"> ppmvd rates at 50% excess air for solid fuel is 890 and for liquid fuel is 630; the pounds of SO</w:t>
            </w:r>
            <w:r w:rsidRPr="002967A9">
              <w:rPr>
                <w:rFonts w:cs="Arial"/>
                <w:sz w:val="14"/>
                <w:szCs w:val="14"/>
                <w:vertAlign w:val="subscript"/>
              </w:rPr>
              <w:t>2</w:t>
            </w:r>
            <w:r w:rsidRPr="007C3F0B">
              <w:rPr>
                <w:rFonts w:cs="Arial"/>
                <w:sz w:val="14"/>
                <w:szCs w:val="14"/>
              </w:rPr>
              <w:t xml:space="preserve"> per MMBtu of heat input for solid fuel is  2.5  and 1.67 for liquid fuel</w:t>
            </w:r>
            <w:r w:rsidR="000B5BB0" w:rsidRPr="008B54F2">
              <w:rPr>
                <w:rFonts w:cs="Arial"/>
                <w:sz w:val="14"/>
                <w:szCs w:val="14"/>
              </w:rPr>
              <w:br/>
              <w:t>with &gt;500,000 lbs Steam per Hour Plant Capacity: 1.67</w:t>
            </w:r>
          </w:p>
          <w:p w:rsidR="007C3F0B" w:rsidRPr="008B54F2" w:rsidRDefault="002967A9" w:rsidP="00CD188D">
            <w:pPr>
              <w:spacing w:before="20" w:after="20"/>
              <w:rPr>
                <w:rFonts w:cs="Arial"/>
                <w:sz w:val="14"/>
                <w:szCs w:val="14"/>
              </w:rPr>
            </w:pPr>
            <w:r w:rsidRPr="007C3F0B">
              <w:rPr>
                <w:rFonts w:cs="Arial"/>
                <w:sz w:val="14"/>
                <w:szCs w:val="14"/>
              </w:rPr>
              <w:t>SO</w:t>
            </w:r>
            <w:r w:rsidRPr="002967A9">
              <w:rPr>
                <w:rFonts w:cs="Arial"/>
                <w:sz w:val="14"/>
                <w:szCs w:val="14"/>
                <w:vertAlign w:val="subscript"/>
              </w:rPr>
              <w:t>2</w:t>
            </w:r>
            <w:r w:rsidR="007C3F0B" w:rsidRPr="007C3F0B">
              <w:rPr>
                <w:rFonts w:cs="Arial"/>
                <w:sz w:val="14"/>
                <w:szCs w:val="14"/>
              </w:rPr>
              <w:t xml:space="preserve"> ppmvd rates at 50% excess air for solid fuel is 590 and for liquid fuel is 420; the pounds of S</w:t>
            </w:r>
            <w:r w:rsidRPr="007C3F0B">
              <w:rPr>
                <w:rFonts w:cs="Arial"/>
                <w:sz w:val="14"/>
                <w:szCs w:val="14"/>
              </w:rPr>
              <w:t>O</w:t>
            </w:r>
            <w:r w:rsidRPr="002967A9">
              <w:rPr>
                <w:rFonts w:cs="Arial"/>
                <w:sz w:val="14"/>
                <w:szCs w:val="14"/>
                <w:vertAlign w:val="subscript"/>
              </w:rPr>
              <w:t>2</w:t>
            </w:r>
            <w:r w:rsidR="007C3F0B" w:rsidRPr="007C3F0B">
              <w:rPr>
                <w:rFonts w:cs="Arial"/>
                <w:sz w:val="14"/>
                <w:szCs w:val="14"/>
              </w:rPr>
              <w:t xml:space="preserve"> per MMBtu of heat input for solid fuel is  1.67  and 1.11 for liquid fuel</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Part 15. Emission Limitations and Prohibitions - Mercury</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Default="000B5BB0" w:rsidP="00CD188D">
            <w:pPr>
              <w:spacing w:before="20" w:after="20"/>
              <w:rPr>
                <w:rFonts w:cs="Arial"/>
                <w:sz w:val="14"/>
                <w:szCs w:val="14"/>
              </w:rPr>
            </w:pPr>
            <w:r w:rsidRPr="008B54F2">
              <w:rPr>
                <w:rFonts w:cs="Arial"/>
                <w:sz w:val="14"/>
                <w:szCs w:val="14"/>
              </w:rPr>
              <w:t>90% removal of Hg content of fuel annually for all coal units &gt; 25 MW</w:t>
            </w:r>
          </w:p>
          <w:p w:rsidR="007C3F0B" w:rsidRDefault="007C3F0B" w:rsidP="00CD188D">
            <w:pPr>
              <w:spacing w:before="20" w:after="20"/>
              <w:rPr>
                <w:rFonts w:cs="Arial"/>
                <w:sz w:val="14"/>
                <w:szCs w:val="14"/>
              </w:rPr>
            </w:pPr>
            <w:r w:rsidRPr="007C3F0B">
              <w:rPr>
                <w:rFonts w:cs="Arial"/>
                <w:sz w:val="14"/>
                <w:szCs w:val="14"/>
              </w:rPr>
              <w:t>An affected EGU is defined in Part 15 as unit with a nameplate capacity of greater than 25 MW producing electricity for sale.</w:t>
            </w:r>
          </w:p>
          <w:p w:rsidR="007C3F0B" w:rsidRPr="008B54F2" w:rsidRDefault="007C3F0B" w:rsidP="00CD188D">
            <w:pPr>
              <w:spacing w:before="20" w:after="20"/>
              <w:rPr>
                <w:rFonts w:cs="Arial"/>
                <w:sz w:val="14"/>
                <w:szCs w:val="14"/>
              </w:rPr>
            </w:pPr>
            <w:r w:rsidRPr="007C3F0B">
              <w:rPr>
                <w:rFonts w:cs="Arial"/>
                <w:sz w:val="14"/>
                <w:szCs w:val="14"/>
              </w:rPr>
              <w:t>An out-put based emission standard of 0.008 lb of Hg per gigawatts hour on a 12-month rolling average as determined at the end of each calendar month</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2015</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Minnesota</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Minnesota Hg Emission Reduction Act</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90% removal of Hg content of fuel annually for all coal facilities &gt; 500 MW combined; Dry scrubbed units must implement by December 31, 2010; Wet scrubbed units must implement by December 31, 2014.  </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2006</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Missouri</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10 CSR 10-6.350</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Default="000B5BB0" w:rsidP="00CD188D">
            <w:pPr>
              <w:spacing w:before="20" w:after="20"/>
              <w:rPr>
                <w:rFonts w:cs="Arial"/>
                <w:sz w:val="14"/>
                <w:szCs w:val="14"/>
              </w:rPr>
            </w:pPr>
            <w:r w:rsidRPr="008B54F2">
              <w:rPr>
                <w:rFonts w:cs="Arial"/>
                <w:sz w:val="14"/>
                <w:szCs w:val="14"/>
              </w:rPr>
              <w:t>0.25 lbs/MMBtu annual rate limit for all fossil fuel units &gt; 25 MW in the following counties: Bollinger, Butler, Cape Girardeau, Carter, Clark, Crawford, Dent, Dunklin, Gasconade, Iron, Lewis, Lincoln, Madison, Marion, Mississippi, Montgomery, New Madrid, Oregon, Pemiscot, Perry, Phelps, Pike, Ralls, Reynolds, Ripley, St. Charles, St. Francois, Ste. Genevieve, Scott, Shannon, Stoddard, Warren, Washington and Wayne</w:t>
            </w:r>
            <w:r w:rsidRPr="008B54F2">
              <w:rPr>
                <w:rFonts w:cs="Arial"/>
                <w:sz w:val="14"/>
                <w:szCs w:val="14"/>
              </w:rPr>
              <w:br/>
              <w:t>0.18 lbs/MMBtu annual rate limit for all fossil fuel units &gt; 25 MW the following counties: City of St. Louis, Franklin, Jefferson, and St. Louis</w:t>
            </w:r>
            <w:r w:rsidRPr="008B54F2">
              <w:rPr>
                <w:rFonts w:cs="Arial"/>
                <w:sz w:val="14"/>
                <w:szCs w:val="14"/>
              </w:rPr>
              <w:br/>
              <w:t>0.35 lbs/MMBtu annual rate limit for all fossil fuel units &gt; 25 MW in the following counties: Buchanan, Jackson, Jasper, Randolph, and any other county not listed</w:t>
            </w:r>
          </w:p>
          <w:p w:rsidR="00CA20B8" w:rsidRPr="008B54F2" w:rsidRDefault="00CA20B8" w:rsidP="00CA20B8">
            <w:pPr>
              <w:spacing w:before="20" w:after="20"/>
              <w:rPr>
                <w:rFonts w:cs="Arial"/>
                <w:sz w:val="14"/>
                <w:szCs w:val="14"/>
              </w:rPr>
            </w:pPr>
            <w:r w:rsidRPr="00CA20B8">
              <w:rPr>
                <w:rFonts w:cs="Arial"/>
                <w:sz w:val="14"/>
                <w:szCs w:val="14"/>
              </w:rPr>
              <w:t>0.68 lbs NOx/</w:t>
            </w:r>
            <w:r w:rsidR="00A53FC2" w:rsidRPr="00CA20B8">
              <w:rPr>
                <w:rFonts w:cs="Arial"/>
                <w:sz w:val="14"/>
                <w:szCs w:val="14"/>
              </w:rPr>
              <w:t>MMBtu</w:t>
            </w:r>
            <w:r w:rsidRPr="00CA20B8">
              <w:rPr>
                <w:rFonts w:cs="Arial"/>
                <w:sz w:val="14"/>
                <w:szCs w:val="14"/>
              </w:rPr>
              <w:t xml:space="preserve"> for cyclone units burning 100,000 or more passenger tire equivalents (PTE).</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2004</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Montana</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Montana Mercury Rule Adopted 10/16/06</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0.90 lbs/TBtu annual rate limit for all non-lignite coal units</w:t>
            </w:r>
            <w:r w:rsidRPr="008B54F2">
              <w:rPr>
                <w:rFonts w:cs="Arial"/>
                <w:sz w:val="14"/>
                <w:szCs w:val="14"/>
              </w:rPr>
              <w:br/>
              <w:t>1.50 lbs/TBtu annual rate limit for all lignite coal units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2010</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New Hampshire</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RSA 125-O: 11-18</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A20B8">
            <w:pPr>
              <w:spacing w:before="20" w:after="20"/>
              <w:rPr>
                <w:rFonts w:cs="Arial"/>
                <w:sz w:val="14"/>
                <w:szCs w:val="14"/>
              </w:rPr>
            </w:pPr>
            <w:r w:rsidRPr="008B54F2">
              <w:rPr>
                <w:rFonts w:cs="Arial"/>
                <w:sz w:val="14"/>
                <w:szCs w:val="14"/>
              </w:rPr>
              <w:t>80% reduction of aggregated Hg content of the coal burned at the facilities for Merrimack Units 1 &amp; 2 and Schiller Units 4, &amp; 6</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r w:rsidR="00CA20B8" w:rsidRPr="00CA20B8">
              <w:rPr>
                <w:rFonts w:cs="Arial"/>
                <w:sz w:val="14"/>
                <w:szCs w:val="14"/>
              </w:rPr>
              <w:t xml:space="preserve">Unit 5 is no longer subject because PSNH installed a new unit.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noWrap/>
            <w:vAlign w:val="center"/>
            <w:hideMark/>
          </w:tcPr>
          <w:p w:rsidR="000B5BB0" w:rsidRPr="008B54F2" w:rsidRDefault="000B5BB0" w:rsidP="00CD188D">
            <w:pPr>
              <w:spacing w:before="20" w:after="20"/>
              <w:rPr>
                <w:rFonts w:cs="Arial"/>
                <w:sz w:val="14"/>
                <w:szCs w:val="14"/>
              </w:rPr>
            </w:pPr>
            <w:r w:rsidRPr="008B54F2">
              <w:rPr>
                <w:rFonts w:cs="Arial"/>
                <w:sz w:val="14"/>
                <w:szCs w:val="14"/>
              </w:rPr>
              <w:t>ENV-A2900   Multiple pollutant annual budget trading and banking program</w:t>
            </w:r>
          </w:p>
          <w:p w:rsidR="000B5BB0" w:rsidRPr="008B54F2" w:rsidRDefault="000B5BB0" w:rsidP="00CD188D">
            <w:pPr>
              <w:spacing w:before="20" w:after="20"/>
              <w:rPr>
                <w:rFonts w:cs="Arial"/>
                <w:sz w:val="14"/>
                <w:szCs w:val="14"/>
              </w:rPr>
            </w:pPr>
            <w:r w:rsidRPr="008B54F2">
              <w:rPr>
                <w:rFonts w:cs="Arial"/>
                <w:sz w:val="14"/>
                <w:szCs w:val="14"/>
              </w:rPr>
              <w:t> </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A20B8">
            <w:pPr>
              <w:spacing w:before="20" w:after="20"/>
              <w:rPr>
                <w:rFonts w:cs="Arial"/>
                <w:sz w:val="14"/>
                <w:szCs w:val="14"/>
              </w:rPr>
            </w:pPr>
            <w:r w:rsidRPr="008B54F2">
              <w:rPr>
                <w:rFonts w:cs="Arial"/>
                <w:sz w:val="14"/>
                <w:szCs w:val="14"/>
              </w:rPr>
              <w:t>2.</w:t>
            </w:r>
            <w:r w:rsidR="00CA20B8">
              <w:rPr>
                <w:rFonts w:cs="Arial"/>
                <w:sz w:val="14"/>
                <w:szCs w:val="14"/>
              </w:rPr>
              <w:t>4</w:t>
            </w:r>
            <w:r w:rsidR="00CA20B8" w:rsidRPr="008B54F2">
              <w:rPr>
                <w:rFonts w:cs="Arial"/>
                <w:sz w:val="14"/>
                <w:szCs w:val="14"/>
              </w:rPr>
              <w:t xml:space="preserve">0 </w:t>
            </w:r>
            <w:r w:rsidRPr="008B54F2">
              <w:rPr>
                <w:rFonts w:cs="Arial"/>
                <w:sz w:val="14"/>
                <w:szCs w:val="14"/>
              </w:rPr>
              <w:t>MTons summer cap for all fossil steam units &gt; 250 MMBtu/hr operated at any time in 1990 and all new units &gt; 15 MW</w:t>
            </w:r>
            <w:r w:rsidRPr="008B54F2">
              <w:rPr>
                <w:rFonts w:cs="Arial"/>
                <w:sz w:val="14"/>
                <w:szCs w:val="14"/>
              </w:rPr>
              <w:br/>
              <w:t>3.64 MTons annual cap for Merrimack 1 &amp; 2, Newington 1, and Schiller 4 through 6</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2007</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shd w:val="clear" w:color="000000" w:fill="FFFFFF"/>
            <w:noWrap/>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7.29 MTons annual cap for Merrimack 1 &amp; 2, Newington 1, and Schiller 4 through 6</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noWrap/>
            <w:vAlign w:val="center"/>
            <w:hideMark/>
          </w:tcPr>
          <w:p w:rsidR="000B5BB0" w:rsidRPr="008B54F2" w:rsidRDefault="000B5BB0" w:rsidP="00CD188D">
            <w:pPr>
              <w:spacing w:before="20" w:after="20"/>
              <w:jc w:val="center"/>
              <w:rPr>
                <w:rFonts w:cs="Arial"/>
                <w:color w:val="000000"/>
                <w:sz w:val="14"/>
                <w:szCs w:val="14"/>
              </w:rPr>
            </w:pPr>
            <w:r w:rsidRPr="008B54F2">
              <w:rPr>
                <w:rFonts w:cs="Arial"/>
                <w:color w:val="000000"/>
                <w:sz w:val="14"/>
                <w:szCs w:val="14"/>
              </w:rPr>
              <w:t xml:space="preserve">Env -A 2300 - Mitigation of Regional Haze </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90% SO</w:t>
            </w:r>
            <w:r w:rsidRPr="008B54F2">
              <w:rPr>
                <w:rFonts w:cs="Arial"/>
                <w:sz w:val="14"/>
                <w:szCs w:val="14"/>
                <w:vertAlign w:val="subscript"/>
              </w:rPr>
              <w:t>2</w:t>
            </w:r>
            <w:r w:rsidRPr="008B54F2">
              <w:rPr>
                <w:rFonts w:cs="Arial"/>
                <w:sz w:val="14"/>
                <w:szCs w:val="14"/>
              </w:rPr>
              <w:t xml:space="preserve"> control at Merrimack 1 &amp; 2; 0.5 lb SO</w:t>
            </w:r>
            <w:r w:rsidRPr="008B54F2">
              <w:rPr>
                <w:rFonts w:cs="Arial"/>
                <w:sz w:val="14"/>
                <w:szCs w:val="14"/>
                <w:vertAlign w:val="subscript"/>
              </w:rPr>
              <w:t>2</w:t>
            </w:r>
            <w:r w:rsidRPr="008B54F2">
              <w:rPr>
                <w:rFonts w:cs="Arial"/>
                <w:sz w:val="14"/>
                <w:szCs w:val="14"/>
              </w:rPr>
              <w:t>/MMBtu 30 day rolling average at Newington 1</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2013</w:t>
            </w: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color w:val="000000"/>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bottom"/>
            <w:hideMark/>
          </w:tcPr>
          <w:p w:rsidR="000B5BB0" w:rsidRPr="008B54F2" w:rsidRDefault="000B5BB0" w:rsidP="00CD188D">
            <w:pPr>
              <w:spacing w:before="20" w:after="20"/>
              <w:rPr>
                <w:rFonts w:cs="Arial"/>
                <w:color w:val="000000"/>
                <w:sz w:val="14"/>
                <w:szCs w:val="14"/>
              </w:rPr>
            </w:pPr>
            <w:r w:rsidRPr="008B54F2">
              <w:rPr>
                <w:rFonts w:cs="Arial"/>
                <w:color w:val="000000"/>
                <w:sz w:val="14"/>
                <w:szCs w:val="14"/>
              </w:rPr>
              <w:t>0.30 lb NO</w:t>
            </w:r>
            <w:r w:rsidRPr="008B54F2">
              <w:rPr>
                <w:rFonts w:cs="Arial"/>
                <w:color w:val="000000"/>
                <w:sz w:val="14"/>
                <w:szCs w:val="14"/>
                <w:vertAlign w:val="subscript"/>
              </w:rPr>
              <w:t>x</w:t>
            </w:r>
            <w:r w:rsidRPr="008B54F2">
              <w:rPr>
                <w:rFonts w:cs="Arial"/>
                <w:color w:val="000000"/>
                <w:sz w:val="14"/>
                <w:szCs w:val="14"/>
              </w:rPr>
              <w:t>/MMBtu 30-day rolling average at Merrimack 2; 0.35 lb NO</w:t>
            </w:r>
            <w:r w:rsidRPr="008B54F2">
              <w:rPr>
                <w:rFonts w:cs="Arial"/>
                <w:color w:val="000000"/>
                <w:sz w:val="14"/>
                <w:szCs w:val="14"/>
                <w:vertAlign w:val="subscript"/>
              </w:rPr>
              <w:t>x</w:t>
            </w:r>
            <w:r w:rsidRPr="008B54F2">
              <w:rPr>
                <w:rFonts w:cs="Arial"/>
                <w:color w:val="000000"/>
                <w:sz w:val="14"/>
                <w:szCs w:val="14"/>
              </w:rPr>
              <w:t>/MMBtu when burning oil and 0.25 lb NO</w:t>
            </w:r>
            <w:r w:rsidRPr="008B54F2">
              <w:rPr>
                <w:rFonts w:cs="Arial"/>
                <w:color w:val="000000"/>
                <w:sz w:val="14"/>
                <w:szCs w:val="14"/>
                <w:vertAlign w:val="subscript"/>
              </w:rPr>
              <w:t>x</w:t>
            </w:r>
            <w:r w:rsidRPr="008B54F2">
              <w:rPr>
                <w:rFonts w:cs="Arial"/>
                <w:color w:val="000000"/>
                <w:sz w:val="14"/>
                <w:szCs w:val="14"/>
              </w:rPr>
              <w:t>/MMBtu when burning oil and gas at Newington 1(permit condition).</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restart"/>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lastRenderedPageBreak/>
              <w:t>New Jersey</w:t>
            </w:r>
          </w:p>
        </w:tc>
        <w:tc>
          <w:tcPr>
            <w:tcW w:w="1434"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N.J. A. C. Title 7, Chapter 27, Subchapter 10.2</w:t>
            </w:r>
          </w:p>
        </w:tc>
        <w:tc>
          <w:tcPr>
            <w:tcW w:w="878" w:type="dxa"/>
            <w:shd w:val="clear" w:color="000000" w:fill="FFFFFF"/>
            <w:vAlign w:val="center"/>
          </w:tcPr>
          <w:p w:rsidR="000B5BB0" w:rsidRPr="008B54F2" w:rsidRDefault="000B5BB0" w:rsidP="00CD188D">
            <w:pPr>
              <w:spacing w:before="20" w:after="20"/>
              <w:jc w:val="center"/>
              <w:rPr>
                <w:rFonts w:cs="Arial"/>
                <w:sz w:val="14"/>
                <w:szCs w:val="14"/>
                <w:vertAlign w:val="subscript"/>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tcPr>
          <w:p w:rsidR="000B5BB0" w:rsidRPr="008B54F2" w:rsidRDefault="000B5BB0" w:rsidP="00CD188D">
            <w:pPr>
              <w:spacing w:before="20" w:after="20"/>
              <w:rPr>
                <w:rFonts w:cs="Arial"/>
                <w:sz w:val="14"/>
                <w:szCs w:val="14"/>
              </w:rPr>
            </w:pPr>
            <w:r w:rsidRPr="008B54F2">
              <w:rPr>
                <w:rFonts w:cs="Arial"/>
                <w:sz w:val="14"/>
                <w:szCs w:val="14"/>
              </w:rPr>
              <w:t>0.15 (30 day rolling average) lbs/MMBtu</w:t>
            </w:r>
          </w:p>
        </w:tc>
        <w:tc>
          <w:tcPr>
            <w:tcW w:w="1350" w:type="dxa"/>
            <w:shd w:val="clear" w:color="000000" w:fill="FFFFFF"/>
            <w:vAlign w:val="center"/>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vAlign w:val="center"/>
          </w:tcPr>
          <w:p w:rsidR="000B5BB0" w:rsidRPr="008B54F2" w:rsidRDefault="000B5BB0" w:rsidP="00CD188D">
            <w:pPr>
              <w:spacing w:before="20" w:after="20"/>
              <w:jc w:val="center"/>
              <w:rPr>
                <w:rFonts w:cs="Arial"/>
                <w:sz w:val="14"/>
                <w:szCs w:val="14"/>
              </w:rPr>
            </w:pPr>
          </w:p>
        </w:tc>
      </w:tr>
      <w:tr w:rsidR="000B5BB0" w:rsidRPr="008B54F2" w:rsidTr="00CD188D">
        <w:trPr>
          <w:cantSplit/>
        </w:trPr>
        <w:tc>
          <w:tcPr>
            <w:tcW w:w="1159" w:type="dxa"/>
            <w:vMerge/>
            <w:shd w:val="clear" w:color="000000" w:fill="FFFFFF"/>
            <w:vAlign w:val="center"/>
            <w:hideMark/>
          </w:tcPr>
          <w:p w:rsidR="000B5BB0" w:rsidRPr="008B54F2" w:rsidRDefault="000B5BB0" w:rsidP="00CD188D">
            <w:pPr>
              <w:spacing w:before="20" w:after="20"/>
              <w:jc w:val="center"/>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N.J.A.C. 7:27-27.5, 27.6, 27.7, and 27.8</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90% removal of Hg content of fuel annually for all coal-fired units or &lt;= 3.0 mg/MWh (net) </w:t>
            </w:r>
            <w:r w:rsidRPr="008B54F2">
              <w:rPr>
                <w:rFonts w:cs="Arial"/>
                <w:sz w:val="14"/>
                <w:szCs w:val="14"/>
              </w:rPr>
              <w:br/>
              <w:t>95% removal of Hg content of fuel annually for all MSW incinerator units or &lt;= 28 ug/dscm</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2007</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N.J. A. C. Title 7, Chapter 27, Subchapter 19, Table 1</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Annual rate limits in lbs/MMBtu for the following technologies:</w:t>
            </w:r>
            <w:r w:rsidRPr="008B54F2">
              <w:rPr>
                <w:rFonts w:cs="Arial"/>
                <w:sz w:val="14"/>
                <w:szCs w:val="14"/>
              </w:rPr>
              <w:br/>
              <w:t>1.0 for tangential and wall-fired wet-bottom coal boilers serving an EGU</w:t>
            </w:r>
            <w:r w:rsidRPr="008B54F2">
              <w:rPr>
                <w:rFonts w:cs="Arial"/>
                <w:sz w:val="14"/>
                <w:szCs w:val="14"/>
              </w:rPr>
              <w:br/>
              <w:t>0.60 for cyclone-fired wet-bottom coal boilers serving an EGU</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2007</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 longer operative. Operative through December 14, 2012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N.J. A. C. Title 7, Chapter 27, Subchapter 19, Table 2</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Annual rate limits in lbs/MMBtu for the following technologies:</w:t>
            </w:r>
            <w:r w:rsidRPr="008B54F2">
              <w:rPr>
                <w:rFonts w:cs="Arial"/>
                <w:sz w:val="14"/>
                <w:szCs w:val="14"/>
              </w:rPr>
              <w:br/>
              <w:t>0.38 for tangential dry-bottom coal boilers serving an EGU</w:t>
            </w:r>
            <w:r w:rsidRPr="008B54F2">
              <w:rPr>
                <w:rFonts w:cs="Arial"/>
                <w:sz w:val="14"/>
                <w:szCs w:val="14"/>
              </w:rPr>
              <w:br/>
              <w:t>0.45 for wall-fired dry-bottom coal boilers serving an EGU</w:t>
            </w:r>
            <w:r w:rsidRPr="008B54F2">
              <w:rPr>
                <w:rFonts w:cs="Arial"/>
                <w:sz w:val="14"/>
                <w:szCs w:val="14"/>
              </w:rPr>
              <w:br/>
              <w:t xml:space="preserve">0.55 for cyclone-fired dry-bottom coal boilers serving an EGU </w:t>
            </w:r>
          </w:p>
          <w:p w:rsidR="000B5BB0" w:rsidRPr="008B54F2" w:rsidRDefault="000B5BB0" w:rsidP="00CD188D">
            <w:pPr>
              <w:spacing w:before="20" w:after="20"/>
              <w:rPr>
                <w:rFonts w:cs="Arial"/>
                <w:sz w:val="14"/>
                <w:szCs w:val="14"/>
              </w:rPr>
            </w:pPr>
          </w:p>
          <w:p w:rsidR="000B5BB0" w:rsidRPr="008B54F2" w:rsidRDefault="000B5BB0" w:rsidP="00CD188D">
            <w:pPr>
              <w:spacing w:before="16"/>
              <w:ind w:right="-20"/>
              <w:rPr>
                <w:rFonts w:eastAsia="Arial" w:cs="Arial"/>
                <w:sz w:val="14"/>
                <w:szCs w:val="14"/>
              </w:rPr>
            </w:pPr>
            <w:r w:rsidRPr="008B54F2">
              <w:rPr>
                <w:rFonts w:eastAsia="Arial" w:cs="Arial"/>
                <w:sz w:val="14"/>
                <w:szCs w:val="14"/>
              </w:rPr>
              <w:t>Li</w:t>
            </w:r>
            <w:r w:rsidRPr="008B54F2">
              <w:rPr>
                <w:rFonts w:eastAsia="Arial" w:cs="Arial"/>
                <w:spacing w:val="2"/>
                <w:sz w:val="14"/>
                <w:szCs w:val="14"/>
              </w:rPr>
              <w:t>m</w:t>
            </w:r>
            <w:r w:rsidRPr="008B54F2">
              <w:rPr>
                <w:rFonts w:eastAsia="Arial" w:cs="Arial"/>
                <w:sz w:val="14"/>
                <w:szCs w:val="14"/>
              </w:rPr>
              <w:t>its</w:t>
            </w:r>
            <w:r w:rsidRPr="008B54F2">
              <w:rPr>
                <w:rFonts w:eastAsia="Arial" w:cs="Arial"/>
                <w:spacing w:val="-3"/>
                <w:sz w:val="14"/>
                <w:szCs w:val="14"/>
              </w:rPr>
              <w:t xml:space="preserve"> </w:t>
            </w:r>
            <w:r w:rsidRPr="008B54F2">
              <w:rPr>
                <w:rFonts w:eastAsia="Arial" w:cs="Arial"/>
                <w:sz w:val="14"/>
                <w:szCs w:val="14"/>
              </w:rPr>
              <w:t>in</w:t>
            </w:r>
            <w:r w:rsidRPr="008B54F2">
              <w:rPr>
                <w:rFonts w:eastAsia="Arial" w:cs="Arial"/>
                <w:spacing w:val="-2"/>
                <w:sz w:val="14"/>
                <w:szCs w:val="14"/>
              </w:rPr>
              <w:t xml:space="preserve"> </w:t>
            </w:r>
            <w:r w:rsidRPr="008B54F2">
              <w:rPr>
                <w:rFonts w:eastAsia="Arial" w:cs="Arial"/>
                <w:spacing w:val="2"/>
                <w:sz w:val="14"/>
                <w:szCs w:val="14"/>
              </w:rPr>
              <w:t>l</w:t>
            </w:r>
            <w:r w:rsidRPr="008B54F2">
              <w:rPr>
                <w:rFonts w:eastAsia="Arial" w:cs="Arial"/>
                <w:spacing w:val="-1"/>
                <w:sz w:val="14"/>
                <w:szCs w:val="14"/>
              </w:rPr>
              <w:t>b</w:t>
            </w:r>
            <w:r w:rsidRPr="008B54F2">
              <w:rPr>
                <w:rFonts w:eastAsia="Arial" w:cs="Arial"/>
                <w:sz w:val="14"/>
                <w:szCs w:val="14"/>
              </w:rPr>
              <w:t>s</w:t>
            </w:r>
            <w:r w:rsidRPr="008B54F2">
              <w:rPr>
                <w:rFonts w:eastAsia="Arial" w:cs="Arial"/>
                <w:spacing w:val="2"/>
                <w:sz w:val="14"/>
                <w:szCs w:val="14"/>
              </w:rPr>
              <w:t>/MWh</w:t>
            </w:r>
            <w:r w:rsidRPr="008B54F2" w:rsidDel="00E604CF">
              <w:rPr>
                <w:rFonts w:eastAsia="Arial" w:cs="Arial"/>
                <w:spacing w:val="2"/>
                <w:sz w:val="14"/>
                <w:szCs w:val="14"/>
              </w:rPr>
              <w:t xml:space="preserve"> </w:t>
            </w:r>
          </w:p>
          <w:p w:rsidR="000B5BB0" w:rsidRPr="008B54F2" w:rsidRDefault="000B5BB0" w:rsidP="00CD188D">
            <w:pPr>
              <w:ind w:right="-20"/>
              <w:rPr>
                <w:rFonts w:eastAsia="Arial" w:cs="Arial"/>
                <w:sz w:val="14"/>
                <w:szCs w:val="14"/>
              </w:rPr>
            </w:pPr>
            <w:r w:rsidRPr="008B54F2">
              <w:rPr>
                <w:rFonts w:eastAsia="Arial" w:cs="Arial"/>
                <w:sz w:val="14"/>
                <w:szCs w:val="14"/>
              </w:rPr>
              <w:t>1.50 for tangential, wall-fired, and cyclone-fired coal boilers serving an EGU</w:t>
            </w:r>
          </w:p>
          <w:p w:rsidR="000B5BB0" w:rsidRPr="008B54F2" w:rsidRDefault="000B5BB0" w:rsidP="00CD188D">
            <w:pPr>
              <w:ind w:right="-20"/>
              <w:rPr>
                <w:rFonts w:eastAsia="Arial" w:cs="Arial"/>
                <w:sz w:val="14"/>
                <w:szCs w:val="14"/>
              </w:rPr>
            </w:pPr>
            <w:r w:rsidRPr="008B54F2">
              <w:rPr>
                <w:rFonts w:eastAsia="Arial" w:cs="Arial"/>
                <w:sz w:val="14"/>
                <w:szCs w:val="14"/>
              </w:rPr>
              <w:t>2.00 for tangential oil and/or gas boilers serving an EGU</w:t>
            </w:r>
          </w:p>
          <w:p w:rsidR="000B5BB0" w:rsidRPr="008B54F2" w:rsidRDefault="000B5BB0" w:rsidP="00CD188D">
            <w:pPr>
              <w:ind w:right="-20"/>
              <w:rPr>
                <w:rFonts w:eastAsia="Arial" w:cs="Arial"/>
                <w:sz w:val="14"/>
                <w:szCs w:val="14"/>
              </w:rPr>
            </w:pPr>
            <w:r w:rsidRPr="008B54F2">
              <w:rPr>
                <w:rFonts w:eastAsia="Arial" w:cs="Arial"/>
                <w:sz w:val="14"/>
                <w:szCs w:val="14"/>
              </w:rPr>
              <w:t>2.80 for wall fired oil and/or gas boilers serving an EGU</w:t>
            </w:r>
          </w:p>
          <w:p w:rsidR="000B5BB0" w:rsidRPr="008B54F2" w:rsidRDefault="000B5BB0" w:rsidP="00CD188D">
            <w:pPr>
              <w:ind w:right="-20"/>
              <w:rPr>
                <w:rFonts w:eastAsia="Arial" w:cs="Arial"/>
                <w:sz w:val="14"/>
                <w:szCs w:val="14"/>
              </w:rPr>
            </w:pPr>
            <w:r w:rsidRPr="008B54F2">
              <w:rPr>
                <w:rFonts w:eastAsia="Arial" w:cs="Arial"/>
                <w:sz w:val="14"/>
                <w:szCs w:val="14"/>
              </w:rPr>
              <w:t>4.30 for cyclone-fired oil and/or gas boilers serving an EGU</w:t>
            </w:r>
          </w:p>
          <w:p w:rsidR="000B5BB0" w:rsidRPr="008B54F2" w:rsidRDefault="000B5BB0" w:rsidP="00CD188D">
            <w:pPr>
              <w:ind w:right="-20"/>
              <w:rPr>
                <w:rFonts w:eastAsia="Arial" w:cs="Arial"/>
                <w:sz w:val="14"/>
                <w:szCs w:val="14"/>
              </w:rPr>
            </w:pPr>
            <w:r w:rsidRPr="008B54F2">
              <w:rPr>
                <w:rFonts w:eastAsia="Arial" w:cs="Arial"/>
                <w:sz w:val="14"/>
                <w:szCs w:val="14"/>
              </w:rPr>
              <w:t>2.00 for tangential and wall fired gas only boilers serving an EGU</w:t>
            </w:r>
          </w:p>
          <w:p w:rsidR="000B5BB0" w:rsidRPr="008B54F2" w:rsidRDefault="000B5BB0" w:rsidP="00CD188D">
            <w:pPr>
              <w:spacing w:before="20" w:after="20"/>
              <w:rPr>
                <w:rFonts w:cs="Arial"/>
                <w:sz w:val="14"/>
                <w:szCs w:val="14"/>
              </w:rPr>
            </w:pPr>
            <w:r w:rsidRPr="008B54F2">
              <w:rPr>
                <w:rFonts w:eastAsia="Arial" w:cs="Arial"/>
                <w:sz w:val="14"/>
                <w:szCs w:val="14"/>
              </w:rPr>
              <w:t>4.30 for cyclone fired gas only boilers serving an EGU</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Operative from December 15, 2012 through April 30, 2015 </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N.J. A. C. Title 7, Chapter 27, Subchapter 19, Table 3</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Annual rate limit lbs/MWh - 1.50 for coal fired boilers serving an EGU; 2.00 for heavier than No.2 fuel oil fired boilers serving an EGU; 1.00 for No.2 and lighter fuel oil fired and gas only fired boilers serving an EGU</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05/01/2015</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xml:space="preserve">N.J. A. C. Title 7, Chapter 27, Subchapter 19, Table 6; non- High Electricity demand Day (HEDD) unit </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2.2 lbs/MWh for gas-burning simple cycle combustion turbine units</w:t>
            </w:r>
            <w:r w:rsidRPr="008B54F2">
              <w:rPr>
                <w:rFonts w:cs="Arial"/>
                <w:sz w:val="14"/>
                <w:szCs w:val="14"/>
              </w:rPr>
              <w:br/>
              <w:t>3.0 lbs/MWh for oil-burning simple cycle combustion turbine units</w:t>
            </w:r>
            <w:r w:rsidRPr="008B54F2">
              <w:rPr>
                <w:rFonts w:cs="Arial"/>
                <w:sz w:val="14"/>
                <w:szCs w:val="14"/>
              </w:rPr>
              <w:br/>
              <w:t>1.3 lbs/MWh for gas-burning combined cycle CT or regenerative cycle CT units</w:t>
            </w:r>
            <w:r w:rsidRPr="008B54F2">
              <w:rPr>
                <w:rFonts w:cs="Arial"/>
                <w:sz w:val="14"/>
                <w:szCs w:val="14"/>
              </w:rPr>
              <w:br/>
              <w:t>2.0 lbs/MWh for oil-burning combined cycle CT or regenerative cycle CT units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05/20/2009</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xml:space="preserve">N.J. A. C. Title 7, Chapter 27, Subchapter 19, Table 7; High Electricity demand Day (HEDD) unit </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1.0 lbs/MWh for gas-burning simple cycle combustion turbine units</w:t>
            </w:r>
            <w:r w:rsidRPr="008B54F2">
              <w:rPr>
                <w:rFonts w:cs="Arial"/>
                <w:sz w:val="14"/>
                <w:szCs w:val="14"/>
              </w:rPr>
              <w:br/>
              <w:t>1.6 lbs/MWh for oil-burning simple cycle combustion turbine units</w:t>
            </w:r>
            <w:r w:rsidRPr="008B54F2">
              <w:rPr>
                <w:rFonts w:cs="Arial"/>
                <w:sz w:val="14"/>
                <w:szCs w:val="14"/>
              </w:rPr>
              <w:br/>
              <w:t>0.75 lbs/MWh for gas-burning combined cycle CT or regenerative cycle CT units</w:t>
            </w:r>
            <w:r w:rsidRPr="008B54F2">
              <w:rPr>
                <w:rFonts w:cs="Arial"/>
                <w:sz w:val="14"/>
                <w:szCs w:val="14"/>
              </w:rPr>
              <w:br/>
              <w:t>1.2 lbs/MWh for oil-burning combined cycle CT or regenerative cycle CT units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2007</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On and after May 1, 2015, the owner or operator of a stationary combustion turbine that is a HEDD unit or a stationary combustion turbine that is capable of generating 15 MW or more and that commenced operation on or after May 1, 2005 shall comply with limits outlines “in Table 7 during operation on high electricity demand days, regardless of the fuel combusted, unless combusting gaseous fuel is not possible due to gas curtailment."</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New York</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Part 237</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A53FC2">
            <w:pPr>
              <w:spacing w:before="20" w:after="20"/>
              <w:rPr>
                <w:rFonts w:cs="Arial"/>
                <w:sz w:val="14"/>
                <w:szCs w:val="14"/>
              </w:rPr>
            </w:pPr>
            <w:r w:rsidRPr="008B54F2">
              <w:rPr>
                <w:rFonts w:cs="Arial"/>
                <w:sz w:val="14"/>
                <w:szCs w:val="14"/>
              </w:rPr>
              <w:t xml:space="preserve">39.91 </w:t>
            </w:r>
            <w:r w:rsidR="00A53FC2" w:rsidRPr="008B54F2">
              <w:rPr>
                <w:rFonts w:cs="Arial"/>
                <w:sz w:val="14"/>
                <w:szCs w:val="14"/>
              </w:rPr>
              <w:t>M</w:t>
            </w:r>
            <w:r w:rsidR="00A53FC2">
              <w:rPr>
                <w:rFonts w:cs="Arial"/>
                <w:sz w:val="14"/>
                <w:szCs w:val="14"/>
              </w:rPr>
              <w:t>T</w:t>
            </w:r>
            <w:r w:rsidR="00A53FC2" w:rsidRPr="008B54F2">
              <w:rPr>
                <w:rFonts w:cs="Arial"/>
                <w:sz w:val="14"/>
                <w:szCs w:val="14"/>
              </w:rPr>
              <w:t xml:space="preserve">ons </w:t>
            </w:r>
            <w:r w:rsidRPr="008B54F2">
              <w:rPr>
                <w:rFonts w:cs="Arial"/>
                <w:sz w:val="14"/>
                <w:szCs w:val="14"/>
              </w:rPr>
              <w:t>[Thousand tons] non-ozone season cap for fossil fuel units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2004</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Repealed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Part 238</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131.36 MTons [Thousand tons] annual cap for fossil fuel units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2005</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Repealed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Mercury Reduction Program for Coal-Fired Electric Utility Steam Generating Units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ind w:right="-20"/>
              <w:rPr>
                <w:rFonts w:eastAsia="Arial" w:cs="Arial"/>
                <w:sz w:val="14"/>
                <w:szCs w:val="14"/>
              </w:rPr>
            </w:pPr>
            <w:r w:rsidRPr="008B54F2">
              <w:rPr>
                <w:rFonts w:cs="Arial"/>
                <w:sz w:val="14"/>
                <w:szCs w:val="14"/>
              </w:rPr>
              <w:t xml:space="preserve">786 lbs annual cap through 2014 for all coal fired boiler or CT units &gt;25 MW after Nov. 15, 1990. </w:t>
            </w:r>
            <w:r w:rsidRPr="008B54F2">
              <w:rPr>
                <w:rFonts w:eastAsia="Arial" w:cs="Arial"/>
                <w:spacing w:val="-1"/>
                <w:sz w:val="14"/>
                <w:szCs w:val="14"/>
              </w:rPr>
              <w:t>For facilities identified in Table 1 of Part 246 and includes 40 lbs set aside</w:t>
            </w:r>
            <w:r w:rsidRPr="008B54F2">
              <w:rPr>
                <w:rFonts w:eastAsia="Arial" w:cs="Arial"/>
                <w:sz w:val="14"/>
                <w:szCs w:val="14"/>
              </w:rPr>
              <w:t>.</w:t>
            </w:r>
          </w:p>
          <w:p w:rsidR="000B5BB0" w:rsidRPr="008B54F2" w:rsidRDefault="000B5BB0" w:rsidP="00CD188D">
            <w:pPr>
              <w:spacing w:before="20" w:after="20"/>
              <w:rPr>
                <w:rFonts w:cs="Arial"/>
                <w:sz w:val="14"/>
                <w:szCs w:val="14"/>
              </w:rPr>
            </w:pPr>
          </w:p>
          <w:p w:rsidR="000B5BB0" w:rsidRPr="008B54F2" w:rsidRDefault="000B5BB0" w:rsidP="00CD188D">
            <w:pPr>
              <w:spacing w:before="20" w:after="20"/>
              <w:rPr>
                <w:rFonts w:cs="Arial"/>
                <w:sz w:val="14"/>
                <w:szCs w:val="14"/>
              </w:rPr>
            </w:pPr>
            <w:r w:rsidRPr="008B54F2">
              <w:rPr>
                <w:rFonts w:cs="Arial"/>
                <w:sz w:val="14"/>
                <w:szCs w:val="14"/>
              </w:rPr>
              <w:br/>
              <w:t xml:space="preserve">0.60 lbs/TBtu annual rate limit for all coal units &gt; 25 MW developed after Nov.15 1990 </w:t>
            </w:r>
            <w:r w:rsidRPr="008B54F2">
              <w:rPr>
                <w:rFonts w:eastAsia="Arial" w:cs="Arial"/>
                <w:sz w:val="14"/>
                <w:szCs w:val="14"/>
              </w:rPr>
              <w:t>for new units and existing facilities – effective Jan 1, 2015.</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2010</w:t>
            </w:r>
          </w:p>
        </w:tc>
        <w:tc>
          <w:tcPr>
            <w:tcW w:w="3078" w:type="dxa"/>
            <w:shd w:val="clear" w:color="000000" w:fill="FFFFFF"/>
            <w:vAlign w:val="center"/>
            <w:hideMark/>
          </w:tcPr>
          <w:p w:rsidR="000B5BB0" w:rsidRPr="008B54F2" w:rsidRDefault="00CA1320" w:rsidP="00CD188D">
            <w:pPr>
              <w:spacing w:before="20" w:after="20"/>
              <w:jc w:val="center"/>
              <w:rPr>
                <w:rFonts w:cs="Arial"/>
                <w:sz w:val="14"/>
                <w:szCs w:val="14"/>
              </w:rPr>
            </w:pPr>
            <w:r w:rsidRPr="00CA1320">
              <w:rPr>
                <w:rFonts w:cs="Arial"/>
                <w:sz w:val="14"/>
                <w:szCs w:val="14"/>
              </w:rPr>
              <w:t>https://govt.westlaw.com/nycrr/Browse/Home/NewYork/NewYorkCodesRulesandRegulations?guid=Ic3039690b5a011dda0a4e17826ebc834&amp;originationContext=documenttoc&amp;transitionType=Default&amp;contextData=%28sc.Default%29</w:t>
            </w:r>
            <w:r w:rsidR="000B5BB0"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Subpart 227-2 Reasonably Available Control Technology (RACT) For Major Facilities of Oxides Of Nitrogen (NO</w:t>
            </w:r>
            <w:r w:rsidRPr="008B54F2">
              <w:rPr>
                <w:rFonts w:cs="Arial"/>
                <w:sz w:val="14"/>
                <w:szCs w:val="14"/>
                <w:vertAlign w:val="subscript"/>
              </w:rPr>
              <w:t>x</w:t>
            </w:r>
            <w:r w:rsidRPr="008B54F2">
              <w:rPr>
                <w:rFonts w:cs="Arial"/>
                <w:sz w:val="14"/>
                <w:szCs w:val="14"/>
              </w:rPr>
              <w:t>)</w:t>
            </w:r>
          </w:p>
        </w:tc>
        <w:tc>
          <w:tcPr>
            <w:tcW w:w="8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A53FC2">
            <w:pPr>
              <w:spacing w:before="20" w:after="20"/>
              <w:rPr>
                <w:rFonts w:cs="Arial"/>
                <w:sz w:val="14"/>
                <w:szCs w:val="14"/>
                <w:vertAlign w:val="superscript"/>
              </w:rPr>
            </w:pPr>
            <w:r w:rsidRPr="008B54F2">
              <w:rPr>
                <w:rFonts w:cs="Arial"/>
                <w:sz w:val="14"/>
                <w:szCs w:val="14"/>
              </w:rPr>
              <w:br/>
              <w:t>Annual rate in lbs/</w:t>
            </w:r>
            <w:r w:rsidR="00A53FC2" w:rsidRPr="008B54F2">
              <w:rPr>
                <w:rFonts w:cs="Arial"/>
                <w:sz w:val="14"/>
                <w:szCs w:val="14"/>
              </w:rPr>
              <w:t>MMB</w:t>
            </w:r>
            <w:r w:rsidR="00A53FC2">
              <w:rPr>
                <w:rFonts w:cs="Arial"/>
                <w:sz w:val="14"/>
                <w:szCs w:val="14"/>
              </w:rPr>
              <w:t>t</w:t>
            </w:r>
            <w:r w:rsidR="00A53FC2" w:rsidRPr="008B54F2">
              <w:rPr>
                <w:rFonts w:cs="Arial"/>
                <w:sz w:val="14"/>
                <w:szCs w:val="14"/>
              </w:rPr>
              <w:t xml:space="preserve">u </w:t>
            </w:r>
            <w:r w:rsidRPr="008B54F2">
              <w:rPr>
                <w:rFonts w:cs="Arial"/>
                <w:sz w:val="14"/>
                <w:szCs w:val="14"/>
              </w:rPr>
              <w:t>for very large boilers &gt;250 MMBtu/hr on or after July 1, 2014;</w:t>
            </w:r>
            <w:r w:rsidRPr="008B54F2">
              <w:rPr>
                <w:rFonts w:cs="Arial"/>
                <w:sz w:val="14"/>
                <w:szCs w:val="14"/>
              </w:rPr>
              <w:br/>
              <w:t>Gas only, tangential &amp; wall fired : 0.08</w:t>
            </w:r>
            <w:r w:rsidRPr="008B54F2">
              <w:rPr>
                <w:rFonts w:cs="Arial"/>
                <w:sz w:val="14"/>
                <w:szCs w:val="14"/>
              </w:rPr>
              <w:br/>
              <w:t>Gas/oil tangential &amp; wall fired : 0.15; cyclone:  0.2</w:t>
            </w:r>
            <w:r w:rsidRPr="008B54F2">
              <w:rPr>
                <w:rFonts w:cs="Arial"/>
                <w:sz w:val="14"/>
                <w:szCs w:val="14"/>
              </w:rPr>
              <w:br/>
              <w:t>Coal Wet Bottom, tangential &amp; wall fired : 0.12; cyclone:  0.2</w:t>
            </w:r>
            <w:r w:rsidRPr="008B54F2">
              <w:rPr>
                <w:rFonts w:cs="Arial"/>
                <w:sz w:val="14"/>
                <w:szCs w:val="14"/>
              </w:rPr>
              <w:br/>
              <w:t>Coal Dry Bottom, tangential &amp; wall fired : 0.12; stokers:  0.08</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2004</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br/>
              <w:t>Annual rate in lbs/</w:t>
            </w:r>
            <w:r w:rsidR="00A53FC2" w:rsidRPr="008B54F2">
              <w:rPr>
                <w:rFonts w:cs="Arial"/>
                <w:sz w:val="14"/>
                <w:szCs w:val="14"/>
              </w:rPr>
              <w:t>MMBtu</w:t>
            </w:r>
            <w:r w:rsidRPr="008B54F2">
              <w:rPr>
                <w:rFonts w:cs="Arial"/>
                <w:sz w:val="14"/>
                <w:szCs w:val="14"/>
              </w:rPr>
              <w:t xml:space="preserve"> for large boilers between 100 and 250 MMBtu/hr on or after July 1, 2014;</w:t>
            </w:r>
            <w:r w:rsidRPr="008B54F2">
              <w:rPr>
                <w:rFonts w:cs="Arial"/>
                <w:sz w:val="14"/>
                <w:szCs w:val="14"/>
              </w:rPr>
              <w:br/>
              <w:t>Gas Only: 0.06</w:t>
            </w:r>
            <w:r w:rsidRPr="008B54F2">
              <w:rPr>
                <w:rFonts w:cs="Arial"/>
                <w:sz w:val="14"/>
                <w:szCs w:val="14"/>
              </w:rPr>
              <w:br/>
              <w:t>Gas/Oil: 0.15</w:t>
            </w:r>
            <w:r w:rsidRPr="008B54F2">
              <w:rPr>
                <w:rFonts w:cs="Arial"/>
                <w:sz w:val="14"/>
                <w:szCs w:val="14"/>
              </w:rPr>
              <w:br/>
              <w:t>Pulverized Coal: 0.20</w:t>
            </w:r>
            <w:r w:rsidRPr="008B54F2">
              <w:rPr>
                <w:rFonts w:cs="Arial"/>
                <w:sz w:val="14"/>
                <w:szCs w:val="14"/>
              </w:rPr>
              <w:br/>
              <w:t>Coal (Overfeed Stoker/FBC): 0.8</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br/>
              <w:t>Annual rate in lbs/</w:t>
            </w:r>
            <w:r w:rsidR="00A53FC2" w:rsidRPr="008B54F2">
              <w:rPr>
                <w:rFonts w:cs="Arial"/>
                <w:sz w:val="14"/>
                <w:szCs w:val="14"/>
              </w:rPr>
              <w:t>MMBtu</w:t>
            </w:r>
            <w:r w:rsidRPr="008B54F2">
              <w:rPr>
                <w:rFonts w:cs="Arial"/>
                <w:sz w:val="14"/>
                <w:szCs w:val="14"/>
              </w:rPr>
              <w:t xml:space="preserve"> for mid-size boilers between 25 and 100 MMBtu/hr on or after July 1, 2014;</w:t>
            </w:r>
            <w:r w:rsidRPr="008B54F2">
              <w:rPr>
                <w:rFonts w:cs="Arial"/>
                <w:sz w:val="14"/>
                <w:szCs w:val="14"/>
              </w:rPr>
              <w:br/>
              <w:t>Gas Only: 0.05</w:t>
            </w:r>
            <w:r w:rsidRPr="008B54F2">
              <w:rPr>
                <w:rFonts w:cs="Arial"/>
                <w:sz w:val="14"/>
                <w:szCs w:val="14"/>
              </w:rPr>
              <w:br/>
              <w:t>Distillate Oil/Gas: 0.08</w:t>
            </w:r>
            <w:r w:rsidRPr="008B54F2">
              <w:rPr>
                <w:rFonts w:cs="Arial"/>
                <w:sz w:val="14"/>
                <w:szCs w:val="14"/>
              </w:rPr>
              <w:br/>
              <w:t>Residual Oil/Gas: 0.20</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CA1320" w:rsidRDefault="00CA1320" w:rsidP="00CD188D">
            <w:pPr>
              <w:spacing w:before="20" w:after="20"/>
              <w:rPr>
                <w:rFonts w:cs="Arial"/>
                <w:sz w:val="14"/>
                <w:szCs w:val="14"/>
              </w:rPr>
            </w:pPr>
          </w:p>
          <w:p w:rsidR="00CA1320" w:rsidRPr="00CA1320" w:rsidRDefault="00CA1320" w:rsidP="00CA1320">
            <w:pPr>
              <w:spacing w:before="20" w:after="20"/>
              <w:rPr>
                <w:rFonts w:cs="Arial"/>
                <w:sz w:val="14"/>
                <w:szCs w:val="14"/>
              </w:rPr>
            </w:pPr>
            <w:r w:rsidRPr="00CA1320">
              <w:rPr>
                <w:rFonts w:cs="Arial"/>
                <w:sz w:val="14"/>
                <w:szCs w:val="14"/>
              </w:rPr>
              <w:t xml:space="preserve">Combined cycle and cogeneration CTs must have an approved case by case RACT determination from the Department by July 1, 2014. </w:t>
            </w:r>
          </w:p>
          <w:p w:rsidR="00CA1320" w:rsidRPr="00CA1320" w:rsidRDefault="00CA1320" w:rsidP="00CA1320">
            <w:pPr>
              <w:spacing w:before="20" w:after="20"/>
              <w:rPr>
                <w:rFonts w:cs="Arial"/>
                <w:sz w:val="14"/>
                <w:szCs w:val="14"/>
              </w:rPr>
            </w:pPr>
          </w:p>
          <w:p w:rsidR="000B5BB0" w:rsidRPr="008B54F2" w:rsidRDefault="00CA1320">
            <w:pPr>
              <w:spacing w:before="20" w:after="20"/>
              <w:rPr>
                <w:rFonts w:cs="Arial"/>
                <w:sz w:val="14"/>
                <w:szCs w:val="14"/>
              </w:rPr>
            </w:pPr>
            <w:r w:rsidRPr="00CA1320">
              <w:rPr>
                <w:rFonts w:cs="Arial"/>
                <w:sz w:val="14"/>
                <w:szCs w:val="14"/>
              </w:rPr>
              <w:t>Simple cycle CTs are required to meet 50 ppm on natural gas and 100 ppm on distillate oil.*</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Compliance with these emission limits must be determined with a one hour average during the ozone season and a 30-day average during the non-ozone season unless the owner or operator chooses to use a CEMS under the provisions of section 227- 2.6(b) of this Subpart.</w:t>
            </w:r>
          </w:p>
        </w:tc>
      </w:tr>
      <w:tr w:rsidR="000B5BB0" w:rsidRPr="008B54F2" w:rsidTr="00CD188D">
        <w:trPr>
          <w:cantSplit/>
          <w:trHeight w:val="5111"/>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b/>
                <w:bCs/>
                <w:sz w:val="14"/>
                <w:szCs w:val="14"/>
              </w:rPr>
              <w:t>Stationary internal combustion engines</w:t>
            </w:r>
            <w:r w:rsidRPr="008B54F2">
              <w:rPr>
                <w:rFonts w:cs="Arial"/>
                <w:sz w:val="14"/>
                <w:szCs w:val="14"/>
              </w:rPr>
              <w:t xml:space="preserve"> having a maximum mechanical output =&gt; 200 brake horsepower in a severe ozone nonattainment area or having a maximum mechanical output rating =&gt;400 brake horsepower outside a severe ozone nonattainment  </w:t>
            </w:r>
          </w:p>
          <w:p w:rsidR="000B5BB0" w:rsidRPr="008B54F2" w:rsidRDefault="000B5BB0" w:rsidP="00CD188D">
            <w:pPr>
              <w:spacing w:before="20" w:after="20"/>
              <w:rPr>
                <w:rFonts w:cs="Arial"/>
                <w:sz w:val="14"/>
                <w:szCs w:val="14"/>
              </w:rPr>
            </w:pPr>
            <w:r w:rsidRPr="008B54F2">
              <w:rPr>
                <w:rFonts w:eastAsia="Arial" w:cs="Arial"/>
                <w:sz w:val="14"/>
                <w:szCs w:val="14"/>
              </w:rPr>
              <w:t>area must comply with one of the emission limits in paragraph (1), (2), or (3) of this subdivision or a case-by-case RACT determination made pursuant to paragraph (4) of this subdivision, as applicable:</w:t>
            </w:r>
            <w:r w:rsidRPr="008B54F2">
              <w:rPr>
                <w:rFonts w:cs="Arial"/>
                <w:sz w:val="14"/>
                <w:szCs w:val="14"/>
              </w:rPr>
              <w:br/>
              <w:t>(1) For internal combustion engines fired solely with natural gas: 1.5 grams per brake horsepower-hour.</w:t>
            </w:r>
            <w:r w:rsidRPr="008B54F2">
              <w:rPr>
                <w:rFonts w:cs="Arial"/>
                <w:sz w:val="14"/>
                <w:szCs w:val="14"/>
              </w:rPr>
              <w:br/>
              <w:t>(2) For internal combustion engines fired with landfill gas or digester gas (solely or in combination with natural gas): 2.0 grams per brake horsepower-hour.</w:t>
            </w:r>
            <w:r w:rsidRPr="008B54F2">
              <w:rPr>
                <w:rFonts w:cs="Arial"/>
                <w:sz w:val="14"/>
                <w:szCs w:val="14"/>
              </w:rPr>
              <w:br/>
              <w:t>(3) For internal combustion engine fired with distillate oil (solely or in combination with other fuels): 2.3 grams per brake horsepower-hour.</w:t>
            </w:r>
          </w:p>
          <w:p w:rsidR="000B5BB0" w:rsidRPr="008B54F2" w:rsidRDefault="000B5BB0" w:rsidP="00CD188D">
            <w:pPr>
              <w:spacing w:line="241" w:lineRule="auto"/>
              <w:ind w:right="81"/>
              <w:rPr>
                <w:rFonts w:eastAsia="Arial" w:cs="Arial"/>
                <w:sz w:val="14"/>
                <w:szCs w:val="14"/>
              </w:rPr>
            </w:pPr>
            <w:r w:rsidRPr="008B54F2">
              <w:rPr>
                <w:rFonts w:eastAsia="Arial" w:cs="Arial"/>
                <w:sz w:val="14"/>
                <w:szCs w:val="14"/>
              </w:rPr>
              <w:t>(4) For stationary internal combustion engines fired primarily with fuels not listed above, the owner or operator must submit a proposal for RACT to be implemented that includes descriptions of:</w:t>
            </w:r>
          </w:p>
          <w:p w:rsidR="000B5BB0" w:rsidRPr="008B54F2" w:rsidRDefault="000B5BB0" w:rsidP="00CD188D">
            <w:pPr>
              <w:spacing w:line="241" w:lineRule="auto"/>
              <w:ind w:right="81"/>
              <w:rPr>
                <w:rFonts w:eastAsia="Arial" w:cs="Arial"/>
                <w:sz w:val="14"/>
                <w:szCs w:val="14"/>
              </w:rPr>
            </w:pPr>
            <w:r w:rsidRPr="008B54F2">
              <w:rPr>
                <w:rFonts w:eastAsia="Arial" w:cs="Arial"/>
                <w:sz w:val="14"/>
                <w:szCs w:val="14"/>
              </w:rPr>
              <w:t>(i) the available NO</w:t>
            </w:r>
            <w:r w:rsidRPr="008B54F2">
              <w:rPr>
                <w:rFonts w:eastAsia="Arial" w:cs="Arial"/>
                <w:sz w:val="14"/>
                <w:szCs w:val="14"/>
                <w:vertAlign w:val="subscript"/>
              </w:rPr>
              <w:t>x</w:t>
            </w:r>
            <w:r w:rsidRPr="008B54F2">
              <w:rPr>
                <w:rFonts w:eastAsia="Arial" w:cs="Arial"/>
                <w:sz w:val="14"/>
                <w:szCs w:val="14"/>
              </w:rPr>
              <w:t xml:space="preserve"> control technologies, the projected effectiveness of the technologies considered, and the costs for installation and operation for each of the technologies; and(ii) the technology and the appropriate emission limit selected as RACT considering the costs for installation and operation of the technology.</w:t>
            </w:r>
          </w:p>
          <w:p w:rsidR="000B5BB0" w:rsidRPr="008B54F2" w:rsidRDefault="000B5BB0" w:rsidP="00CD188D">
            <w:pPr>
              <w:spacing w:line="241" w:lineRule="auto"/>
              <w:ind w:right="81"/>
              <w:rPr>
                <w:rFonts w:eastAsia="Arial" w:cs="Arial"/>
                <w:sz w:val="14"/>
                <w:szCs w:val="14"/>
              </w:rPr>
            </w:pPr>
            <w:r w:rsidRPr="008B54F2">
              <w:rPr>
                <w:rFonts w:eastAsia="Arial" w:cs="Arial"/>
                <w:sz w:val="14"/>
                <w:szCs w:val="14"/>
              </w:rPr>
              <w:t>(5) Any stationary internal combustion engine may rely on an emission limit that reflects a 90 percent or greater NO</w:t>
            </w:r>
            <w:r w:rsidRPr="008B54F2">
              <w:rPr>
                <w:rFonts w:eastAsia="Arial" w:cs="Arial"/>
                <w:sz w:val="14"/>
                <w:szCs w:val="14"/>
                <w:vertAlign w:val="subscript"/>
              </w:rPr>
              <w:t>x</w:t>
            </w:r>
            <w:r w:rsidRPr="008B54F2">
              <w:rPr>
                <w:rFonts w:eastAsia="Arial" w:cs="Arial"/>
                <w:sz w:val="14"/>
                <w:szCs w:val="14"/>
              </w:rPr>
              <w:t xml:space="preserve"> reduction from the engine's actual 1990 baseline emissions, if such emissions baseline exists.</w:t>
            </w:r>
          </w:p>
          <w:p w:rsidR="000B5BB0" w:rsidRPr="008B54F2" w:rsidRDefault="000B5BB0" w:rsidP="00CD188D">
            <w:pPr>
              <w:spacing w:before="20" w:after="20"/>
              <w:rPr>
                <w:rFonts w:cs="Arial"/>
                <w:sz w:val="14"/>
                <w:szCs w:val="14"/>
              </w:rPr>
            </w:pPr>
            <w:r w:rsidRPr="008B54F2">
              <w:rPr>
                <w:rFonts w:eastAsia="Arial" w:cs="Arial"/>
                <w:sz w:val="14"/>
                <w:szCs w:val="14"/>
              </w:rPr>
              <w:t>(6) Emergency power generating stationary internal combustion engines, and engine test cells at engine manufacturing facilities that are used for either research and development purposes, reliability testing, or quality assurance performance testing are exempt from the requirements of this subdivision.</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CA1320" w:rsidRPr="008B54F2" w:rsidTr="00CD188D">
        <w:trPr>
          <w:cantSplit/>
          <w:trHeight w:val="5111"/>
        </w:trPr>
        <w:tc>
          <w:tcPr>
            <w:tcW w:w="1159" w:type="dxa"/>
            <w:vMerge/>
            <w:vAlign w:val="center"/>
          </w:tcPr>
          <w:p w:rsidR="00CA1320" w:rsidRPr="008B54F2" w:rsidRDefault="00CA1320" w:rsidP="00CD188D">
            <w:pPr>
              <w:spacing w:before="20" w:after="20"/>
              <w:rPr>
                <w:rFonts w:cs="Arial"/>
                <w:sz w:val="14"/>
                <w:szCs w:val="14"/>
              </w:rPr>
            </w:pPr>
          </w:p>
        </w:tc>
        <w:tc>
          <w:tcPr>
            <w:tcW w:w="1434" w:type="dxa"/>
            <w:vAlign w:val="center"/>
          </w:tcPr>
          <w:p w:rsidR="00CA1320" w:rsidRPr="008B54F2" w:rsidRDefault="00CA1320" w:rsidP="00CD188D">
            <w:pPr>
              <w:spacing w:before="20" w:after="20"/>
              <w:rPr>
                <w:rFonts w:cs="Arial"/>
                <w:sz w:val="14"/>
                <w:szCs w:val="14"/>
              </w:rPr>
            </w:pPr>
            <w:r w:rsidRPr="00CA1320">
              <w:rPr>
                <w:rFonts w:cs="Arial"/>
                <w:sz w:val="14"/>
                <w:szCs w:val="14"/>
              </w:rPr>
              <w:t>Part 242 C</w:t>
            </w:r>
            <w:r w:rsidR="002967A9" w:rsidRPr="007C3F0B">
              <w:rPr>
                <w:rFonts w:cs="Arial"/>
                <w:sz w:val="14"/>
                <w:szCs w:val="14"/>
              </w:rPr>
              <w:t>O</w:t>
            </w:r>
            <w:r w:rsidR="002967A9" w:rsidRPr="002967A9">
              <w:rPr>
                <w:rFonts w:cs="Arial"/>
                <w:sz w:val="14"/>
                <w:szCs w:val="14"/>
                <w:vertAlign w:val="subscript"/>
              </w:rPr>
              <w:t>2</w:t>
            </w:r>
            <w:r w:rsidRPr="00CA1320">
              <w:rPr>
                <w:rFonts w:cs="Arial"/>
                <w:sz w:val="14"/>
                <w:szCs w:val="14"/>
              </w:rPr>
              <w:t xml:space="preserve"> Budget Trading Program</w:t>
            </w:r>
          </w:p>
        </w:tc>
        <w:tc>
          <w:tcPr>
            <w:tcW w:w="878" w:type="dxa"/>
            <w:vAlign w:val="center"/>
          </w:tcPr>
          <w:p w:rsidR="00CA1320" w:rsidRPr="008B54F2" w:rsidRDefault="00CA1320" w:rsidP="00CD188D">
            <w:pPr>
              <w:spacing w:before="20" w:after="20"/>
              <w:rPr>
                <w:rFonts w:cs="Arial"/>
                <w:sz w:val="14"/>
                <w:szCs w:val="14"/>
              </w:rPr>
            </w:pPr>
            <w:r w:rsidRPr="00CA1320">
              <w:rPr>
                <w:rFonts w:cs="Arial"/>
                <w:sz w:val="14"/>
                <w:szCs w:val="14"/>
              </w:rPr>
              <w:t>C</w:t>
            </w:r>
            <w:r w:rsidR="002967A9" w:rsidRPr="007C3F0B">
              <w:rPr>
                <w:rFonts w:cs="Arial"/>
                <w:sz w:val="14"/>
                <w:szCs w:val="14"/>
              </w:rPr>
              <w:t>O</w:t>
            </w:r>
            <w:r w:rsidR="002967A9" w:rsidRPr="002967A9">
              <w:rPr>
                <w:rFonts w:cs="Arial"/>
                <w:sz w:val="14"/>
                <w:szCs w:val="14"/>
                <w:vertAlign w:val="subscript"/>
              </w:rPr>
              <w:t>2</w:t>
            </w:r>
          </w:p>
        </w:tc>
        <w:tc>
          <w:tcPr>
            <w:tcW w:w="5277" w:type="dxa"/>
            <w:shd w:val="clear" w:color="000000" w:fill="FFFFFF"/>
            <w:vAlign w:val="center"/>
          </w:tcPr>
          <w:p w:rsidR="00CA1320" w:rsidRPr="004D4FB7" w:rsidRDefault="00CA1320" w:rsidP="00CA1320">
            <w:pPr>
              <w:spacing w:before="20" w:after="20"/>
              <w:rPr>
                <w:rFonts w:cs="Arial"/>
                <w:bCs/>
                <w:sz w:val="14"/>
                <w:szCs w:val="14"/>
              </w:rPr>
            </w:pPr>
            <w:r w:rsidRPr="004D4FB7">
              <w:rPr>
                <w:rFonts w:cs="Arial"/>
                <w:bCs/>
                <w:sz w:val="14"/>
                <w:szCs w:val="14"/>
              </w:rPr>
              <w:t>Any unit that, at any time on or after January 1, 2005, serves an electricity generator with a nameplate capacity equal to or greater than 25 MWe shall be a C</w:t>
            </w:r>
            <w:r w:rsidR="002967A9" w:rsidRPr="007C3F0B">
              <w:rPr>
                <w:rFonts w:cs="Arial"/>
                <w:sz w:val="14"/>
                <w:szCs w:val="14"/>
              </w:rPr>
              <w:t>O</w:t>
            </w:r>
            <w:r w:rsidR="002967A9" w:rsidRPr="002967A9">
              <w:rPr>
                <w:rFonts w:cs="Arial"/>
                <w:sz w:val="14"/>
                <w:szCs w:val="14"/>
                <w:vertAlign w:val="subscript"/>
              </w:rPr>
              <w:t>2</w:t>
            </w:r>
            <w:r w:rsidR="002967A9">
              <w:rPr>
                <w:rFonts w:cs="Arial"/>
                <w:sz w:val="14"/>
                <w:szCs w:val="14"/>
                <w:vertAlign w:val="subscript"/>
              </w:rPr>
              <w:t xml:space="preserve"> </w:t>
            </w:r>
            <w:r w:rsidRPr="004D4FB7">
              <w:rPr>
                <w:rFonts w:cs="Arial"/>
                <w:bCs/>
                <w:sz w:val="14"/>
                <w:szCs w:val="14"/>
              </w:rPr>
              <w:t>budget unit, and any source that includes one or more such units shall be a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budget source, subject to the requirements of this Part.</w:t>
            </w:r>
          </w:p>
          <w:p w:rsidR="00CA1320" w:rsidRPr="004D4FB7" w:rsidRDefault="00CA1320" w:rsidP="00CA1320">
            <w:pPr>
              <w:spacing w:before="20" w:after="20"/>
              <w:rPr>
                <w:rFonts w:cs="Arial"/>
                <w:bCs/>
                <w:sz w:val="14"/>
                <w:szCs w:val="14"/>
              </w:rPr>
            </w:pPr>
          </w:p>
          <w:p w:rsidR="00CA1320" w:rsidRPr="004D4FB7" w:rsidRDefault="00CA1320" w:rsidP="00CA1320">
            <w:pPr>
              <w:spacing w:before="20" w:after="20"/>
              <w:rPr>
                <w:rFonts w:cs="Arial"/>
                <w:bCs/>
                <w:sz w:val="14"/>
                <w:szCs w:val="14"/>
              </w:rPr>
            </w:pPr>
            <w:r w:rsidRPr="004D4FB7">
              <w:rPr>
                <w:rFonts w:cs="Arial"/>
                <w:bCs/>
                <w:sz w:val="14"/>
                <w:szCs w:val="14"/>
              </w:rPr>
              <w:t>(a) The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xml:space="preserve"> Budget Trading Program base budget is 35,228,822 tons, for the 2014 allocation year.</w:t>
            </w:r>
          </w:p>
          <w:p w:rsidR="00CA1320" w:rsidRPr="004D4FB7" w:rsidRDefault="00CA1320" w:rsidP="00CA1320">
            <w:pPr>
              <w:spacing w:before="20" w:after="20"/>
              <w:rPr>
                <w:rFonts w:cs="Arial"/>
                <w:bCs/>
                <w:sz w:val="14"/>
                <w:szCs w:val="14"/>
              </w:rPr>
            </w:pPr>
            <w:r w:rsidRPr="004D4FB7">
              <w:rPr>
                <w:rFonts w:cs="Arial"/>
                <w:bCs/>
                <w:sz w:val="14"/>
                <w:szCs w:val="14"/>
              </w:rPr>
              <w:t>(b) The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xml:space="preserve"> Budget Trading Program base budget is 34,348,101 tons, for the 2015 allocation year.</w:t>
            </w:r>
          </w:p>
          <w:p w:rsidR="00CA1320" w:rsidRPr="004D4FB7" w:rsidRDefault="00CA1320" w:rsidP="00CA1320">
            <w:pPr>
              <w:spacing w:before="20" w:after="20"/>
              <w:rPr>
                <w:rFonts w:cs="Arial"/>
                <w:bCs/>
                <w:sz w:val="14"/>
                <w:szCs w:val="14"/>
              </w:rPr>
            </w:pPr>
            <w:r w:rsidRPr="004D4FB7">
              <w:rPr>
                <w:rFonts w:cs="Arial"/>
                <w:bCs/>
                <w:sz w:val="14"/>
                <w:szCs w:val="14"/>
              </w:rPr>
              <w:t>(c) The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xml:space="preserve"> Budget Trading Program base budget is 33,489,399 tons, for the 2016 allocation year.</w:t>
            </w:r>
          </w:p>
          <w:p w:rsidR="00CA1320" w:rsidRPr="004D4FB7" w:rsidRDefault="00CA1320" w:rsidP="00CA1320">
            <w:pPr>
              <w:spacing w:before="20" w:after="20"/>
              <w:rPr>
                <w:rFonts w:cs="Arial"/>
                <w:bCs/>
                <w:sz w:val="14"/>
                <w:szCs w:val="14"/>
              </w:rPr>
            </w:pPr>
            <w:r w:rsidRPr="004D4FB7">
              <w:rPr>
                <w:rFonts w:cs="Arial"/>
                <w:bCs/>
                <w:sz w:val="14"/>
                <w:szCs w:val="14"/>
              </w:rPr>
              <w:t>(d) The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xml:space="preserve"> Budget Trading Program base budget is 32,837,536 tons for the 2017 allocation year.</w:t>
            </w:r>
          </w:p>
          <w:p w:rsidR="00CA1320" w:rsidRPr="004D4FB7" w:rsidRDefault="00CA1320" w:rsidP="00CA1320">
            <w:pPr>
              <w:spacing w:before="20" w:after="20"/>
              <w:rPr>
                <w:rFonts w:cs="Arial"/>
                <w:bCs/>
                <w:sz w:val="14"/>
                <w:szCs w:val="14"/>
              </w:rPr>
            </w:pPr>
            <w:r w:rsidRPr="004D4FB7">
              <w:rPr>
                <w:rFonts w:cs="Arial"/>
                <w:bCs/>
                <w:sz w:val="14"/>
                <w:szCs w:val="14"/>
              </w:rPr>
              <w:t>(e) The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xml:space="preserve"> Budget Trading Program base budget is 32,016,597 tons for the 2018 allocation year.</w:t>
            </w:r>
          </w:p>
          <w:p w:rsidR="00CA1320" w:rsidRPr="004D4FB7" w:rsidRDefault="00CA1320" w:rsidP="00CA1320">
            <w:pPr>
              <w:spacing w:before="20" w:after="20"/>
              <w:rPr>
                <w:rFonts w:cs="Arial"/>
                <w:bCs/>
                <w:sz w:val="14"/>
                <w:szCs w:val="14"/>
              </w:rPr>
            </w:pPr>
            <w:r w:rsidRPr="004D4FB7">
              <w:rPr>
                <w:rFonts w:cs="Arial"/>
                <w:bCs/>
                <w:sz w:val="14"/>
                <w:szCs w:val="14"/>
              </w:rPr>
              <w:t>(f) The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xml:space="preserve"> Budget Trading Program base budget is 31,216,182 tons, for the 2019 allocation year.</w:t>
            </w:r>
          </w:p>
          <w:p w:rsidR="00CA1320" w:rsidRPr="008B54F2" w:rsidRDefault="00CA1320" w:rsidP="00CA1320">
            <w:pPr>
              <w:spacing w:before="20" w:after="20"/>
              <w:rPr>
                <w:rFonts w:cs="Arial"/>
                <w:b/>
                <w:bCs/>
                <w:sz w:val="14"/>
                <w:szCs w:val="14"/>
              </w:rPr>
            </w:pPr>
            <w:r w:rsidRPr="004D4FB7">
              <w:rPr>
                <w:rFonts w:cs="Arial"/>
                <w:bCs/>
                <w:sz w:val="14"/>
                <w:szCs w:val="14"/>
              </w:rPr>
              <w:t>(g) The C</w:t>
            </w:r>
            <w:r w:rsidR="002967A9" w:rsidRPr="007C3F0B">
              <w:rPr>
                <w:rFonts w:cs="Arial"/>
                <w:sz w:val="14"/>
                <w:szCs w:val="14"/>
              </w:rPr>
              <w:t>O</w:t>
            </w:r>
            <w:r w:rsidR="002967A9" w:rsidRPr="002967A9">
              <w:rPr>
                <w:rFonts w:cs="Arial"/>
                <w:sz w:val="14"/>
                <w:szCs w:val="14"/>
                <w:vertAlign w:val="subscript"/>
              </w:rPr>
              <w:t>2</w:t>
            </w:r>
            <w:r w:rsidRPr="004D4FB7">
              <w:rPr>
                <w:rFonts w:cs="Arial"/>
                <w:bCs/>
                <w:sz w:val="14"/>
                <w:szCs w:val="14"/>
              </w:rPr>
              <w:t xml:space="preserve"> Budget Trading Program base budget is 30,435,778 tons, annually for the 2020 allocation year and each succeeding allocation year.</w:t>
            </w:r>
          </w:p>
        </w:tc>
        <w:tc>
          <w:tcPr>
            <w:tcW w:w="1350" w:type="dxa"/>
            <w:vAlign w:val="center"/>
          </w:tcPr>
          <w:p w:rsidR="00CA1320" w:rsidRPr="008B54F2" w:rsidRDefault="00CA1320" w:rsidP="00CD188D">
            <w:pPr>
              <w:spacing w:before="20" w:after="20"/>
              <w:rPr>
                <w:rFonts w:cs="Arial"/>
                <w:sz w:val="14"/>
                <w:szCs w:val="14"/>
              </w:rPr>
            </w:pPr>
            <w:r w:rsidRPr="00CA1320">
              <w:rPr>
                <w:rFonts w:cs="Arial"/>
                <w:sz w:val="14"/>
                <w:szCs w:val="14"/>
              </w:rPr>
              <w:t>2015</w:t>
            </w:r>
          </w:p>
        </w:tc>
        <w:tc>
          <w:tcPr>
            <w:tcW w:w="3078" w:type="dxa"/>
            <w:shd w:val="clear" w:color="000000" w:fill="FFFFFF"/>
            <w:vAlign w:val="center"/>
          </w:tcPr>
          <w:p w:rsidR="00CA1320" w:rsidRPr="00CA1320" w:rsidRDefault="00CA1320" w:rsidP="00CA1320">
            <w:pPr>
              <w:spacing w:before="20" w:after="20"/>
              <w:jc w:val="center"/>
              <w:rPr>
                <w:rFonts w:cs="Arial"/>
                <w:sz w:val="14"/>
                <w:szCs w:val="14"/>
              </w:rPr>
            </w:pPr>
            <w:r w:rsidRPr="00CA1320">
              <w:rPr>
                <w:rFonts w:cs="Arial"/>
                <w:sz w:val="14"/>
                <w:szCs w:val="14"/>
              </w:rPr>
              <w:t>Full Rule Link:</w:t>
            </w:r>
          </w:p>
          <w:p w:rsidR="00CA1320" w:rsidRPr="00CA1320" w:rsidRDefault="00CA1320" w:rsidP="00CA1320">
            <w:pPr>
              <w:spacing w:before="20" w:after="20"/>
              <w:jc w:val="center"/>
              <w:rPr>
                <w:rFonts w:cs="Arial"/>
                <w:sz w:val="14"/>
                <w:szCs w:val="14"/>
              </w:rPr>
            </w:pPr>
            <w:r w:rsidRPr="00CA1320">
              <w:rPr>
                <w:rFonts w:cs="Arial"/>
                <w:sz w:val="14"/>
                <w:szCs w:val="14"/>
              </w:rPr>
              <w:t>https://govt.westlaw.com/nycrr/Browse/Home/NewYork/NewYorkCodesRulesandRegulations?guid=Iafc5f680d5e011ddb477e8e3dda68a63&amp;originationContext=documenttoc&amp;transitionType=Default&amp;contextData=%28sc.Default%29&amp;bhcp=1</w:t>
            </w:r>
          </w:p>
          <w:p w:rsidR="00CA1320" w:rsidRPr="00CA1320" w:rsidRDefault="00CA1320" w:rsidP="00CA1320">
            <w:pPr>
              <w:spacing w:before="20" w:after="20"/>
              <w:jc w:val="center"/>
              <w:rPr>
                <w:rFonts w:cs="Arial"/>
                <w:sz w:val="14"/>
                <w:szCs w:val="14"/>
              </w:rPr>
            </w:pPr>
          </w:p>
          <w:p w:rsidR="00CA1320" w:rsidRPr="00CA1320" w:rsidRDefault="00CA1320" w:rsidP="00CA1320">
            <w:pPr>
              <w:spacing w:before="20" w:after="20"/>
              <w:jc w:val="center"/>
              <w:rPr>
                <w:rFonts w:cs="Arial"/>
                <w:sz w:val="14"/>
                <w:szCs w:val="14"/>
              </w:rPr>
            </w:pPr>
            <w:r w:rsidRPr="00CA1320">
              <w:rPr>
                <w:rFonts w:cs="Arial"/>
                <w:sz w:val="14"/>
                <w:szCs w:val="14"/>
              </w:rPr>
              <w:t>Part 242-2 CO2 Allowance Allocations Link:</w:t>
            </w:r>
          </w:p>
          <w:p w:rsidR="00CA1320" w:rsidRPr="008B54F2" w:rsidRDefault="00CA1320" w:rsidP="00CA1320">
            <w:pPr>
              <w:spacing w:before="20" w:after="20"/>
              <w:jc w:val="center"/>
              <w:rPr>
                <w:rFonts w:cs="Arial"/>
                <w:sz w:val="14"/>
                <w:szCs w:val="14"/>
              </w:rPr>
            </w:pPr>
            <w:r w:rsidRPr="00CA1320">
              <w:rPr>
                <w:rFonts w:cs="Arial"/>
                <w:sz w:val="14"/>
                <w:szCs w:val="14"/>
              </w:rPr>
              <w:t>https://govt.westlaw.com/nycrr/Browse/Home/NewYork/NewYorkCodesRulesandRegulations?guid=Idb97d060dbeb11dd9768bd0e013d693a&amp;originationContext=documenttoc&amp;transitionType=Default&amp;contextData=%28sc.Default%29</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xml:space="preserve">Part 251 </w:t>
            </w:r>
            <w:hyperlink r:id="rId4" w:history="1">
              <w:r w:rsidRPr="008B54F2">
                <w:rPr>
                  <w:rFonts w:eastAsia="Arial" w:cs="Arial"/>
                  <w:w w:val="99"/>
                  <w:sz w:val="14"/>
                  <w:szCs w:val="14"/>
                </w:rPr>
                <w:t>CO</w:t>
              </w:r>
              <w:r w:rsidRPr="008B54F2">
                <w:rPr>
                  <w:rFonts w:eastAsia="Arial" w:cs="Arial"/>
                  <w:w w:val="99"/>
                  <w:sz w:val="14"/>
                  <w:szCs w:val="14"/>
                  <w:vertAlign w:val="subscript"/>
                </w:rPr>
                <w:t>2</w:t>
              </w:r>
              <w:r w:rsidRPr="008B54F2">
                <w:rPr>
                  <w:rFonts w:eastAsia="Arial" w:cs="Arial"/>
                  <w:w w:val="99"/>
                  <w:sz w:val="14"/>
                  <w:szCs w:val="14"/>
                </w:rPr>
                <w:t xml:space="preserve"> Performance Standards for Major Electric Generating Facilities</w:t>
              </w:r>
            </w:hyperlink>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1450 lbs/MWh rate limit for New Combustion Turbines =&gt;25MW </w:t>
            </w:r>
            <w:r w:rsidRPr="008B54F2">
              <w:rPr>
                <w:rFonts w:cs="Arial"/>
                <w:sz w:val="14"/>
                <w:szCs w:val="14"/>
              </w:rPr>
              <w:br/>
              <w:t xml:space="preserve">925 lbs/MWh rate limit for New Fossil Fuel except CT =&gt;25MW </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North Carolina</w:t>
            </w: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NC Clean Smokestacks Act: Statute 143-215.107D</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25 MTons annual cap for Progress Energy coal plants &gt; 25 MW and 31 MTons annual cap for Duke Energy coal plants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2007</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2012: 100 MTons annual cap for Progress Energy coal plants &gt; 25 MW and 150 MTons annual cap for Duke Energy coal plants &gt; 25 MW</w:t>
            </w:r>
            <w:r w:rsidRPr="008B54F2">
              <w:rPr>
                <w:rFonts w:cs="Arial"/>
                <w:sz w:val="14"/>
                <w:szCs w:val="14"/>
              </w:rPr>
              <w:br/>
              <w:t>2013 onwards: 50 MTons annual cap for Progress Energy coal plants &gt; 25 MW and 80 MTons annual cap for Duke Energy coal plants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2009</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SECTION .2500 – Mercury Rules for Electric Generators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Coal-fired electric steam &gt;25 MW  to comply with the mercury emission caps of 1.133 tons (36,256 ounces) per year between 2010 and 2017</w:t>
            </w:r>
            <w:r w:rsidRPr="008B54F2">
              <w:rPr>
                <w:rFonts w:cs="Arial"/>
                <w:sz w:val="14"/>
                <w:szCs w:val="14"/>
              </w:rPr>
              <w:br/>
              <w:t>inclusive and 0.447 tons (14,304 ounces) per year for 2018 and thereafter</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2010</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Vacated</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15A NCAC 02D .2511</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7F402B">
              <w:rPr>
                <w:rFonts w:cs="Arial"/>
                <w:sz w:val="14"/>
                <w:szCs w:val="14"/>
              </w:rPr>
              <w:t>Duke Energy and Progress Energy Hg control plans submitted on January 1, 2013 and are awaiting approval. All control technologies and limitations must be implemented by December 31, 2017.</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2017</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Oregon</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Oregon Administrative Rules, Chapter 345, Division 24</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675 lbs/MWh annual rate limit for new combustion turbines burning natural gas with a CF &gt;75% and all new non-base load plants (with a CE &lt;= 75%) emitting CO</w:t>
            </w:r>
            <w:r w:rsidRPr="008B54F2">
              <w:rPr>
                <w:rFonts w:cs="Arial"/>
                <w:sz w:val="14"/>
                <w:szCs w:val="14"/>
                <w:vertAlign w:val="subscript"/>
              </w:rPr>
              <w:t>2</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1997</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Oregon Utility Mercury Rule - Existing Units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90% removal of Hg content of fuel reduction or 0.6 lbs/TBtu limitation for all existing coal units &gt;25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2012</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Oregon Utility Mercury Rule - Potential Units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25 lbs limit for all potential coal units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2009</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Texas</w:t>
            </w: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Senate Bill 7 Chapter 101</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273.95 MTons cap of SO</w:t>
            </w:r>
            <w:r w:rsidRPr="008B54F2">
              <w:rPr>
                <w:rFonts w:cs="Arial"/>
                <w:sz w:val="14"/>
                <w:szCs w:val="14"/>
                <w:vertAlign w:val="subscript"/>
              </w:rPr>
              <w:t>2</w:t>
            </w:r>
            <w:r w:rsidRPr="008B54F2">
              <w:rPr>
                <w:rFonts w:cs="Arial"/>
                <w:sz w:val="14"/>
                <w:szCs w:val="14"/>
              </w:rPr>
              <w:t xml:space="preserve"> </w:t>
            </w:r>
            <w:r w:rsidR="00CA1320" w:rsidRPr="00CA1320">
              <w:rPr>
                <w:rFonts w:cs="Arial"/>
                <w:sz w:val="14"/>
                <w:szCs w:val="14"/>
              </w:rPr>
              <w:t>allowances allocated annually</w:t>
            </w:r>
            <w:r w:rsidR="00CA1320">
              <w:rPr>
                <w:rFonts w:cs="Arial"/>
                <w:sz w:val="14"/>
                <w:szCs w:val="14"/>
              </w:rPr>
              <w:t xml:space="preserve"> </w:t>
            </w:r>
            <w:r w:rsidRPr="008B54F2">
              <w:rPr>
                <w:rFonts w:cs="Arial"/>
                <w:sz w:val="14"/>
                <w:szCs w:val="14"/>
              </w:rPr>
              <w:t xml:space="preserve">for all grandfathered units built before 1971 </w:t>
            </w:r>
            <w:r w:rsidR="00CA1320" w:rsidRPr="00CA1320">
              <w:rPr>
                <w:rFonts w:cs="Arial"/>
                <w:sz w:val="14"/>
                <w:szCs w:val="14"/>
              </w:rPr>
              <w:t>and electing units</w:t>
            </w:r>
            <w:r w:rsidR="00CA1320">
              <w:rPr>
                <w:rFonts w:cs="Arial"/>
                <w:sz w:val="14"/>
                <w:szCs w:val="14"/>
              </w:rPr>
              <w:t xml:space="preserve"> </w:t>
            </w:r>
            <w:r w:rsidRPr="008B54F2">
              <w:rPr>
                <w:rFonts w:cs="Arial"/>
                <w:sz w:val="14"/>
                <w:szCs w:val="14"/>
              </w:rPr>
              <w:t>in East Texas Region</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2003</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Annual cap for all grandfathered units built before 1971 in MTons: </w:t>
            </w:r>
            <w:r w:rsidR="00CA1320" w:rsidRPr="00CA1320">
              <w:rPr>
                <w:rFonts w:cs="Arial"/>
                <w:sz w:val="14"/>
                <w:szCs w:val="14"/>
              </w:rPr>
              <w:t>84.50</w:t>
            </w:r>
            <w:r w:rsidRPr="008B54F2">
              <w:rPr>
                <w:rFonts w:cs="Arial"/>
                <w:sz w:val="14"/>
                <w:szCs w:val="14"/>
              </w:rPr>
              <w:t>in East Texas, 18.10 in West Texas, 1.06 in El Paso Region</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Chapter 117</w:t>
            </w:r>
          </w:p>
        </w:tc>
        <w:tc>
          <w:tcPr>
            <w:tcW w:w="8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vAlign w:val="center"/>
            <w:hideMark/>
          </w:tcPr>
          <w:p w:rsidR="000B5BB0" w:rsidRDefault="000B5BB0" w:rsidP="00CD188D">
            <w:pPr>
              <w:spacing w:before="20" w:after="20"/>
              <w:rPr>
                <w:rFonts w:cs="Arial"/>
                <w:sz w:val="14"/>
                <w:szCs w:val="14"/>
              </w:rPr>
            </w:pPr>
            <w:r w:rsidRPr="008B54F2">
              <w:rPr>
                <w:rFonts w:cs="Arial"/>
                <w:sz w:val="14"/>
                <w:szCs w:val="14"/>
              </w:rPr>
              <w:t xml:space="preserve">East and Central Texas annual rate limits in lbs/MMBtu for units that came online before 1996: </w:t>
            </w:r>
            <w:r w:rsidRPr="008B54F2">
              <w:rPr>
                <w:rFonts w:cs="Arial"/>
                <w:sz w:val="14"/>
                <w:szCs w:val="14"/>
              </w:rPr>
              <w:br/>
              <w:t>Gas fired units: 0.14</w:t>
            </w:r>
            <w:r w:rsidR="00CA1320">
              <w:rPr>
                <w:rFonts w:cs="Arial"/>
                <w:sz w:val="14"/>
                <w:szCs w:val="14"/>
              </w:rPr>
              <w:t xml:space="preserve"> </w:t>
            </w:r>
            <w:r w:rsidR="00CA1320" w:rsidRPr="00CA1320">
              <w:rPr>
                <w:rFonts w:cs="Arial"/>
                <w:sz w:val="14"/>
                <w:szCs w:val="14"/>
              </w:rPr>
              <w:t>lb/MMBtu heat input</w:t>
            </w:r>
            <w:r w:rsidRPr="008B54F2">
              <w:rPr>
                <w:rFonts w:cs="Arial"/>
                <w:sz w:val="14"/>
                <w:szCs w:val="14"/>
              </w:rPr>
              <w:br/>
              <w:t>Coal fired units: 0.165</w:t>
            </w:r>
            <w:r w:rsidR="00CA1320">
              <w:rPr>
                <w:rFonts w:cs="Arial"/>
                <w:sz w:val="14"/>
                <w:szCs w:val="14"/>
              </w:rPr>
              <w:t xml:space="preserve"> </w:t>
            </w:r>
            <w:r w:rsidR="00CA1320" w:rsidRPr="00CA1320">
              <w:rPr>
                <w:rFonts w:cs="Arial"/>
                <w:sz w:val="14"/>
                <w:szCs w:val="14"/>
              </w:rPr>
              <w:t>lb/MMBtu heat input</w:t>
            </w:r>
            <w:r w:rsidRPr="008B54F2">
              <w:rPr>
                <w:rFonts w:cs="Arial"/>
                <w:sz w:val="14"/>
                <w:szCs w:val="14"/>
              </w:rPr>
              <w:br/>
              <w:t>Stationary gas turbines: 0.14</w:t>
            </w:r>
            <w:r w:rsidR="00CA1320">
              <w:rPr>
                <w:rFonts w:cs="Arial"/>
                <w:sz w:val="14"/>
                <w:szCs w:val="14"/>
              </w:rPr>
              <w:t xml:space="preserve"> </w:t>
            </w:r>
            <w:r w:rsidR="00CA1320" w:rsidRPr="00CA1320">
              <w:rPr>
                <w:rFonts w:cs="Arial"/>
                <w:sz w:val="14"/>
                <w:szCs w:val="14"/>
              </w:rPr>
              <w:t>lb/MMBtu heat input</w:t>
            </w:r>
          </w:p>
          <w:p w:rsidR="00CA1320" w:rsidRPr="008B54F2" w:rsidRDefault="00CA1320" w:rsidP="00CD188D">
            <w:pPr>
              <w:spacing w:before="20" w:after="20"/>
              <w:rPr>
                <w:rFonts w:cs="Arial"/>
                <w:sz w:val="14"/>
                <w:szCs w:val="14"/>
              </w:rPr>
            </w:pPr>
            <w:r w:rsidRPr="00CA1320">
              <w:rPr>
                <w:rFonts w:cs="Arial"/>
                <w:sz w:val="14"/>
                <w:szCs w:val="14"/>
              </w:rPr>
              <w:t>System cap: tons per year according to §117.3020(c)</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2007</w:t>
            </w:r>
          </w:p>
        </w:tc>
        <w:tc>
          <w:tcPr>
            <w:tcW w:w="3078" w:type="dxa"/>
            <w:vMerge w:val="restart"/>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Units are also allowed to comply by reducing the same amount of NO</w:t>
            </w:r>
            <w:r w:rsidRPr="008B54F2">
              <w:rPr>
                <w:rFonts w:cs="Arial"/>
                <w:sz w:val="14"/>
                <w:szCs w:val="14"/>
                <w:vertAlign w:val="subscript"/>
              </w:rPr>
              <w:t>x</w:t>
            </w:r>
            <w:r w:rsidRPr="008B54F2">
              <w:rPr>
                <w:rFonts w:cs="Arial"/>
                <w:sz w:val="14"/>
                <w:szCs w:val="14"/>
              </w:rPr>
              <w:t xml:space="preserve"> on a monthly basis using a system cap or by purchasing credits. </w:t>
            </w:r>
            <w:r w:rsidRPr="008B54F2">
              <w:rPr>
                <w:rFonts w:cs="Arial"/>
                <w:sz w:val="14"/>
                <w:szCs w:val="14"/>
              </w:rPr>
              <w:br/>
            </w:r>
            <w:r w:rsidRPr="008B54F2">
              <w:rPr>
                <w:rFonts w:cs="Arial"/>
                <w:sz w:val="14"/>
                <w:szCs w:val="14"/>
              </w:rPr>
              <w:br/>
              <w:t>East and Central Texas, Dallas/Fort Worth Area, Beaumont-Port Arthur region units are assumed to be in compliance based on their reported 2011 ETS rates. The regulations for these regions are not modeled.</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0B5BB0" w:rsidRDefault="000B5BB0" w:rsidP="00CD188D">
            <w:pPr>
              <w:spacing w:before="20" w:after="20"/>
              <w:rPr>
                <w:rFonts w:cs="Arial"/>
                <w:sz w:val="14"/>
                <w:szCs w:val="14"/>
              </w:rPr>
            </w:pPr>
          </w:p>
          <w:p w:rsidR="00CA1320" w:rsidRPr="00CA1320" w:rsidRDefault="00CA1320" w:rsidP="00CA1320">
            <w:pPr>
              <w:spacing w:before="20" w:after="20"/>
              <w:rPr>
                <w:rFonts w:cs="Arial"/>
                <w:sz w:val="14"/>
                <w:szCs w:val="14"/>
              </w:rPr>
            </w:pPr>
          </w:p>
          <w:p w:rsidR="00CA1320" w:rsidRPr="00CA1320" w:rsidRDefault="00CA1320" w:rsidP="00CA1320">
            <w:pPr>
              <w:spacing w:before="20" w:after="20"/>
              <w:rPr>
                <w:rFonts w:cs="Arial"/>
                <w:sz w:val="14"/>
                <w:szCs w:val="14"/>
              </w:rPr>
            </w:pPr>
            <w:r w:rsidRPr="00CA1320">
              <w:rPr>
                <w:rFonts w:cs="Arial"/>
                <w:sz w:val="14"/>
                <w:szCs w:val="14"/>
              </w:rPr>
              <w:t>Dallas-Fort Worth Eight-Hour Ozone Nonattainment Area limits for utility boilers, auxiliary steam boilers, and stationary gas turbines used in an electric power generating system:</w:t>
            </w:r>
          </w:p>
          <w:p w:rsidR="00CA1320" w:rsidRPr="00CA1320" w:rsidRDefault="00CA1320" w:rsidP="00CA1320">
            <w:pPr>
              <w:spacing w:before="20" w:after="20"/>
              <w:rPr>
                <w:rFonts w:cs="Arial"/>
                <w:sz w:val="14"/>
                <w:szCs w:val="14"/>
              </w:rPr>
            </w:pPr>
            <w:r w:rsidRPr="00CA1320">
              <w:rPr>
                <w:rFonts w:cs="Arial"/>
                <w:sz w:val="14"/>
                <w:szCs w:val="14"/>
              </w:rPr>
              <w:t>Utility boilers:</w:t>
            </w:r>
          </w:p>
          <w:p w:rsidR="00CA1320" w:rsidRPr="00CA1320" w:rsidRDefault="00CA1320" w:rsidP="00CA1320">
            <w:pPr>
              <w:spacing w:before="20" w:after="20"/>
              <w:rPr>
                <w:rFonts w:cs="Arial"/>
                <w:sz w:val="14"/>
                <w:szCs w:val="14"/>
              </w:rPr>
            </w:pPr>
            <w:r w:rsidRPr="00CA1320">
              <w:rPr>
                <w:rFonts w:cs="Arial"/>
                <w:sz w:val="14"/>
                <w:szCs w:val="14"/>
              </w:rPr>
              <w:t>• Large utility systems:</w:t>
            </w:r>
          </w:p>
          <w:p w:rsidR="00CA1320" w:rsidRPr="00CA1320" w:rsidRDefault="00CA1320" w:rsidP="00CA1320">
            <w:pPr>
              <w:spacing w:before="20" w:after="20"/>
              <w:rPr>
                <w:rFonts w:cs="Arial"/>
                <w:sz w:val="14"/>
                <w:szCs w:val="14"/>
              </w:rPr>
            </w:pPr>
            <w:r w:rsidRPr="00CA1320">
              <w:rPr>
                <w:rFonts w:cs="Arial"/>
                <w:sz w:val="14"/>
                <w:szCs w:val="14"/>
              </w:rPr>
              <w:t> 0.033 lb/MMBtu heat input rolling 24-hour (March - October) and rolling 30-day (November, December, January, February);</w:t>
            </w:r>
          </w:p>
          <w:p w:rsidR="00CA1320" w:rsidRPr="00CA1320" w:rsidRDefault="00CA1320" w:rsidP="00CA1320">
            <w:pPr>
              <w:spacing w:before="20" w:after="20"/>
              <w:rPr>
                <w:rFonts w:cs="Arial"/>
                <w:sz w:val="14"/>
                <w:szCs w:val="14"/>
              </w:rPr>
            </w:pPr>
            <w:r w:rsidRPr="00CA1320">
              <w:rPr>
                <w:rFonts w:cs="Arial"/>
                <w:sz w:val="14"/>
                <w:szCs w:val="14"/>
              </w:rPr>
              <w:t> 0.033 lb/MMBtu heat input, system-wide heat input weighted average rolling 168-hour</w:t>
            </w:r>
          </w:p>
          <w:p w:rsidR="00CA1320" w:rsidRPr="00CA1320" w:rsidRDefault="00CA1320" w:rsidP="00CA1320">
            <w:pPr>
              <w:spacing w:before="20" w:after="20"/>
              <w:rPr>
                <w:rFonts w:cs="Arial"/>
                <w:sz w:val="14"/>
                <w:szCs w:val="14"/>
              </w:rPr>
            </w:pPr>
            <w:r w:rsidRPr="00CA1320">
              <w:rPr>
                <w:rFonts w:cs="Arial"/>
                <w:sz w:val="14"/>
                <w:szCs w:val="14"/>
              </w:rPr>
              <w:t>• Small utility systems: 0.06 lb/MMBtu heat input rolling 24-hour (March - October) and rolling 30-day (November, December, January, February)</w:t>
            </w:r>
          </w:p>
          <w:p w:rsidR="00CA1320" w:rsidRPr="00CA1320" w:rsidRDefault="00CA1320" w:rsidP="00CA1320">
            <w:pPr>
              <w:spacing w:before="20" w:after="20"/>
              <w:rPr>
                <w:rFonts w:cs="Arial"/>
                <w:sz w:val="14"/>
                <w:szCs w:val="14"/>
              </w:rPr>
            </w:pPr>
            <w:r w:rsidRPr="00CA1320">
              <w:rPr>
                <w:rFonts w:cs="Arial"/>
                <w:sz w:val="14"/>
                <w:szCs w:val="14"/>
              </w:rPr>
              <w:t>• 0.50 lb/MWh annual output</w:t>
            </w:r>
          </w:p>
          <w:p w:rsidR="00CA1320" w:rsidRPr="00CA1320" w:rsidRDefault="00CA1320" w:rsidP="00CA1320">
            <w:pPr>
              <w:spacing w:before="20" w:after="20"/>
              <w:rPr>
                <w:rFonts w:cs="Arial"/>
                <w:sz w:val="14"/>
                <w:szCs w:val="14"/>
              </w:rPr>
            </w:pPr>
          </w:p>
          <w:p w:rsidR="00CA1320" w:rsidRPr="00CA1320" w:rsidRDefault="00CA1320" w:rsidP="00CA1320">
            <w:pPr>
              <w:spacing w:before="20" w:after="20"/>
              <w:rPr>
                <w:rFonts w:cs="Arial"/>
                <w:sz w:val="14"/>
                <w:szCs w:val="14"/>
              </w:rPr>
            </w:pPr>
            <w:r w:rsidRPr="00CA1320">
              <w:rPr>
                <w:rFonts w:cs="Arial"/>
                <w:sz w:val="14"/>
                <w:szCs w:val="14"/>
              </w:rPr>
              <w:t>Auxiliary steam boilers:</w:t>
            </w:r>
          </w:p>
          <w:p w:rsidR="00CA1320" w:rsidRPr="00CA1320" w:rsidRDefault="00CA1320" w:rsidP="00CA1320">
            <w:pPr>
              <w:spacing w:before="20" w:after="20"/>
              <w:rPr>
                <w:rFonts w:cs="Arial"/>
                <w:sz w:val="14"/>
                <w:szCs w:val="14"/>
              </w:rPr>
            </w:pPr>
            <w:r w:rsidRPr="00CA1320">
              <w:rPr>
                <w:rFonts w:cs="Arial"/>
                <w:sz w:val="14"/>
                <w:szCs w:val="14"/>
              </w:rPr>
              <w:t>• Natural gas or combination of natural gas and waste oil: 0.26 lb/MMBtu heat input rolling 24-hour and 0.20 lb/MMBtu heat input rolling 30-day</w:t>
            </w:r>
          </w:p>
          <w:p w:rsidR="00CA1320" w:rsidRPr="00CA1320" w:rsidRDefault="00CA1320" w:rsidP="00CA1320">
            <w:pPr>
              <w:spacing w:before="20" w:after="20"/>
              <w:rPr>
                <w:rFonts w:cs="Arial"/>
                <w:sz w:val="14"/>
                <w:szCs w:val="14"/>
              </w:rPr>
            </w:pPr>
            <w:r w:rsidRPr="00CA1320">
              <w:rPr>
                <w:rFonts w:cs="Arial"/>
                <w:sz w:val="14"/>
                <w:szCs w:val="14"/>
              </w:rPr>
              <w:t>• Fuel oil: 0.30 lb/MMBtu heat input rolling 24-hour</w:t>
            </w:r>
          </w:p>
          <w:p w:rsidR="00CA1320" w:rsidRPr="00CA1320" w:rsidRDefault="00CA1320" w:rsidP="00CA1320">
            <w:pPr>
              <w:spacing w:before="20" w:after="20"/>
              <w:rPr>
                <w:rFonts w:cs="Arial"/>
                <w:sz w:val="14"/>
                <w:szCs w:val="14"/>
              </w:rPr>
            </w:pPr>
            <w:r w:rsidRPr="00CA1320">
              <w:rPr>
                <w:rFonts w:cs="Arial"/>
                <w:sz w:val="14"/>
                <w:szCs w:val="14"/>
              </w:rPr>
              <w:t>• Mixture of natural gas and fuel oil: heat input weighted average of applicable (above) specifications rolling 24-hour according to §117.1310(a)(2)(C)</w:t>
            </w:r>
          </w:p>
          <w:p w:rsidR="00CA1320" w:rsidRPr="00CA1320" w:rsidRDefault="00CA1320" w:rsidP="00CA1320">
            <w:pPr>
              <w:spacing w:before="20" w:after="20"/>
              <w:rPr>
                <w:rFonts w:cs="Arial"/>
                <w:sz w:val="14"/>
                <w:szCs w:val="14"/>
              </w:rPr>
            </w:pPr>
            <w:r w:rsidRPr="00CA1320">
              <w:rPr>
                <w:rFonts w:cs="Arial"/>
                <w:sz w:val="14"/>
                <w:szCs w:val="14"/>
              </w:rPr>
              <w:t>• Or applicable NSPS NOx emission limit in Subparts D, Db, or Dc</w:t>
            </w:r>
          </w:p>
          <w:p w:rsidR="00CA1320" w:rsidRPr="00CA1320" w:rsidRDefault="00CA1320" w:rsidP="00CA1320">
            <w:pPr>
              <w:spacing w:before="20" w:after="20"/>
              <w:rPr>
                <w:rFonts w:cs="Arial"/>
                <w:sz w:val="14"/>
                <w:szCs w:val="14"/>
              </w:rPr>
            </w:pPr>
          </w:p>
          <w:p w:rsidR="00CA1320" w:rsidRPr="00CA1320" w:rsidRDefault="00CA1320" w:rsidP="00CA1320">
            <w:pPr>
              <w:spacing w:before="20" w:after="20"/>
              <w:rPr>
                <w:rFonts w:cs="Arial"/>
                <w:sz w:val="14"/>
                <w:szCs w:val="14"/>
              </w:rPr>
            </w:pPr>
            <w:r w:rsidRPr="00CA1320">
              <w:rPr>
                <w:rFonts w:cs="Arial"/>
                <w:sz w:val="14"/>
                <w:szCs w:val="14"/>
              </w:rPr>
              <w:t>Stationary gas turbines:</w:t>
            </w:r>
          </w:p>
          <w:p w:rsidR="00CA1320" w:rsidRPr="00CA1320" w:rsidRDefault="00CA1320" w:rsidP="00CA1320">
            <w:pPr>
              <w:spacing w:before="20" w:after="20"/>
              <w:rPr>
                <w:rFonts w:cs="Arial"/>
                <w:sz w:val="14"/>
                <w:szCs w:val="14"/>
              </w:rPr>
            </w:pPr>
            <w:r w:rsidRPr="00CA1320">
              <w:rPr>
                <w:rFonts w:cs="Arial"/>
                <w:sz w:val="14"/>
                <w:szCs w:val="14"/>
              </w:rPr>
              <w:t>• Non-peaking units ≥ 30 MW (annual MWh ≥ 2500 hours X unit MW rating):</w:t>
            </w:r>
          </w:p>
          <w:p w:rsidR="00CA1320" w:rsidRPr="00CA1320" w:rsidRDefault="00CA1320" w:rsidP="00CA1320">
            <w:pPr>
              <w:spacing w:before="20" w:after="20"/>
              <w:rPr>
                <w:rFonts w:cs="Arial"/>
                <w:sz w:val="14"/>
                <w:szCs w:val="14"/>
              </w:rPr>
            </w:pPr>
            <w:r w:rsidRPr="00CA1320">
              <w:rPr>
                <w:rFonts w:cs="Arial"/>
                <w:sz w:val="14"/>
                <w:szCs w:val="14"/>
              </w:rPr>
              <w:t> Natural gas: 42 ppmv (15% O</w:t>
            </w:r>
            <w:r w:rsidR="00A53FC2" w:rsidRPr="00CA1320">
              <w:rPr>
                <w:rFonts w:cs="Arial"/>
                <w:sz w:val="14"/>
                <w:szCs w:val="14"/>
              </w:rPr>
              <w:t>2, dry</w:t>
            </w:r>
            <w:r w:rsidRPr="00CA1320">
              <w:rPr>
                <w:rFonts w:cs="Arial"/>
                <w:sz w:val="14"/>
                <w:szCs w:val="14"/>
              </w:rPr>
              <w:t>) block one-hour</w:t>
            </w:r>
          </w:p>
          <w:p w:rsidR="00CA1320" w:rsidRPr="00CA1320" w:rsidRDefault="00CA1320" w:rsidP="00CA1320">
            <w:pPr>
              <w:spacing w:before="20" w:after="20"/>
              <w:rPr>
                <w:rFonts w:cs="Arial"/>
                <w:sz w:val="14"/>
                <w:szCs w:val="14"/>
              </w:rPr>
            </w:pPr>
            <w:r w:rsidRPr="00CA1320">
              <w:rPr>
                <w:rFonts w:cs="Arial"/>
                <w:sz w:val="14"/>
                <w:szCs w:val="14"/>
              </w:rPr>
              <w:t> Fuel oil: 65 ppmv (15% O</w:t>
            </w:r>
            <w:r w:rsidR="00A53FC2" w:rsidRPr="00CA1320">
              <w:rPr>
                <w:rFonts w:cs="Arial"/>
                <w:sz w:val="14"/>
                <w:szCs w:val="14"/>
              </w:rPr>
              <w:t>2, dry</w:t>
            </w:r>
            <w:r w:rsidRPr="00CA1320">
              <w:rPr>
                <w:rFonts w:cs="Arial"/>
                <w:sz w:val="14"/>
                <w:szCs w:val="14"/>
              </w:rPr>
              <w:t>) block one-hour</w:t>
            </w:r>
          </w:p>
          <w:p w:rsidR="00CA1320" w:rsidRPr="00CA1320" w:rsidRDefault="00CA1320" w:rsidP="00CA1320">
            <w:pPr>
              <w:spacing w:before="20" w:after="20"/>
              <w:rPr>
                <w:rFonts w:cs="Arial"/>
                <w:sz w:val="14"/>
                <w:szCs w:val="14"/>
              </w:rPr>
            </w:pPr>
            <w:r w:rsidRPr="00CA1320">
              <w:rPr>
                <w:rFonts w:cs="Arial"/>
                <w:sz w:val="14"/>
                <w:szCs w:val="14"/>
              </w:rPr>
              <w:t>• Peaking units (annual MWh &lt; 2500 hours X unit MW rating):</w:t>
            </w:r>
          </w:p>
          <w:p w:rsidR="00CA1320" w:rsidRPr="00CA1320" w:rsidRDefault="00CA1320" w:rsidP="00CA1320">
            <w:pPr>
              <w:spacing w:before="20" w:after="20"/>
              <w:rPr>
                <w:rFonts w:cs="Arial"/>
                <w:sz w:val="14"/>
                <w:szCs w:val="14"/>
              </w:rPr>
            </w:pPr>
            <w:r w:rsidRPr="00CA1320">
              <w:rPr>
                <w:rFonts w:cs="Arial"/>
                <w:sz w:val="14"/>
                <w:szCs w:val="14"/>
              </w:rPr>
              <w:t> Natural gas: 0.20 lb/MMBtu heat input block one-hour</w:t>
            </w:r>
          </w:p>
          <w:p w:rsidR="00CA1320" w:rsidRPr="008B54F2" w:rsidRDefault="00CA1320" w:rsidP="00CA1320">
            <w:pPr>
              <w:spacing w:before="20" w:after="20"/>
              <w:rPr>
                <w:rFonts w:cs="Arial"/>
                <w:sz w:val="14"/>
                <w:szCs w:val="14"/>
              </w:rPr>
            </w:pPr>
            <w:r w:rsidRPr="00CA1320">
              <w:rPr>
                <w:rFonts w:cs="Arial"/>
                <w:sz w:val="14"/>
                <w:szCs w:val="14"/>
              </w:rPr>
              <w:t> Fuel oil: 0.30 lb/MMBtu heat input block one-hour</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0B5BB0" w:rsidRDefault="000B5BB0" w:rsidP="00CD188D">
            <w:pPr>
              <w:spacing w:before="20" w:after="20"/>
              <w:rPr>
                <w:rFonts w:cs="Arial"/>
                <w:sz w:val="14"/>
                <w:szCs w:val="14"/>
              </w:rPr>
            </w:pPr>
          </w:p>
          <w:p w:rsidR="00CA1320" w:rsidRPr="00CA1320" w:rsidRDefault="00CA1320" w:rsidP="00CA1320">
            <w:pPr>
              <w:spacing w:before="20" w:after="20"/>
              <w:rPr>
                <w:rFonts w:cs="Arial"/>
                <w:sz w:val="14"/>
                <w:szCs w:val="14"/>
              </w:rPr>
            </w:pPr>
            <w:r w:rsidRPr="00CA1320">
              <w:rPr>
                <w:rFonts w:cs="Arial"/>
                <w:sz w:val="14"/>
                <w:szCs w:val="14"/>
              </w:rPr>
              <w:t xml:space="preserve">Houston-Galveston-Brazoria Eight-Hour Ozone Nonattainment Area annual Mass Emissions Cap and Trade (MECT) Program for EGUs and non-EGUs.  EGUs include utility boilers, auxiliary steam boilers, stationary gas turbines, and duct burners used in turbine exhaust ducts used in an electric power generating system: </w:t>
            </w:r>
          </w:p>
          <w:p w:rsidR="00CA1320" w:rsidRPr="008B54F2" w:rsidRDefault="00CA1320" w:rsidP="002967A9">
            <w:pPr>
              <w:spacing w:before="20" w:after="20"/>
              <w:rPr>
                <w:rFonts w:cs="Arial"/>
                <w:sz w:val="14"/>
                <w:szCs w:val="14"/>
              </w:rPr>
            </w:pPr>
            <w:r w:rsidRPr="00CA1320">
              <w:rPr>
                <w:rFonts w:cs="Arial"/>
                <w:sz w:val="14"/>
                <w:szCs w:val="14"/>
              </w:rPr>
              <w:t>39.99 MTons NOx allowances allocated annually to all MECT sources (EGUs and Non-EGUs combined)</w:t>
            </w:r>
            <w:r w:rsidR="002967A9">
              <w:rPr>
                <w:rFonts w:cs="Arial"/>
                <w:sz w:val="14"/>
                <w:szCs w:val="14"/>
              </w:rPr>
              <w:t>; 17.57</w:t>
            </w:r>
            <w:r w:rsidR="002967A9" w:rsidRPr="00CA1320">
              <w:rPr>
                <w:rFonts w:cs="Arial"/>
                <w:sz w:val="14"/>
                <w:szCs w:val="14"/>
              </w:rPr>
              <w:t xml:space="preserve"> MTons NOx allowances allocated annually to all MECT sources (EGUs)</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rPr>
                <w:rFonts w:cs="Arial"/>
                <w:sz w:val="14"/>
                <w:szCs w:val="14"/>
              </w:rPr>
            </w:pPr>
          </w:p>
        </w:tc>
        <w:tc>
          <w:tcPr>
            <w:tcW w:w="5277" w:type="dxa"/>
            <w:shd w:val="clear" w:color="000000" w:fill="FFFFFF"/>
            <w:vAlign w:val="center"/>
            <w:hideMark/>
          </w:tcPr>
          <w:p w:rsidR="00CA1320" w:rsidRPr="00CA1320" w:rsidRDefault="00CA1320" w:rsidP="00CA1320">
            <w:pPr>
              <w:spacing w:before="20" w:after="20"/>
              <w:rPr>
                <w:rFonts w:cs="Arial"/>
                <w:sz w:val="14"/>
                <w:szCs w:val="14"/>
              </w:rPr>
            </w:pPr>
          </w:p>
          <w:p w:rsidR="00CA1320" w:rsidRPr="00CA1320" w:rsidRDefault="00CA1320" w:rsidP="00CA1320">
            <w:pPr>
              <w:spacing w:before="20" w:after="20"/>
              <w:rPr>
                <w:rFonts w:cs="Arial"/>
                <w:sz w:val="14"/>
                <w:szCs w:val="14"/>
              </w:rPr>
            </w:pPr>
            <w:r w:rsidRPr="00CA1320">
              <w:rPr>
                <w:rFonts w:cs="Arial"/>
                <w:sz w:val="14"/>
                <w:szCs w:val="14"/>
              </w:rPr>
              <w:t>Beaumont-Port Arthur Area limits for utility boilers, auxiliary steam boilers, and stationary gas turbines used in an electric power generating system:</w:t>
            </w:r>
          </w:p>
          <w:p w:rsidR="00CA1320" w:rsidRPr="00CA1320" w:rsidRDefault="00CA1320" w:rsidP="00CA1320">
            <w:pPr>
              <w:spacing w:before="20" w:after="20"/>
              <w:rPr>
                <w:rFonts w:cs="Arial"/>
                <w:sz w:val="14"/>
                <w:szCs w:val="14"/>
              </w:rPr>
            </w:pPr>
            <w:r w:rsidRPr="00CA1320">
              <w:rPr>
                <w:rFonts w:cs="Arial"/>
                <w:sz w:val="14"/>
                <w:szCs w:val="14"/>
              </w:rPr>
              <w:t>Utility boilers:</w:t>
            </w:r>
          </w:p>
          <w:p w:rsidR="00CA1320" w:rsidRPr="00CA1320" w:rsidRDefault="00CA1320" w:rsidP="00CA1320">
            <w:pPr>
              <w:spacing w:before="20" w:after="20"/>
              <w:rPr>
                <w:rFonts w:cs="Arial"/>
                <w:sz w:val="14"/>
                <w:szCs w:val="14"/>
              </w:rPr>
            </w:pPr>
            <w:r w:rsidRPr="00CA1320">
              <w:rPr>
                <w:rFonts w:cs="Arial"/>
                <w:sz w:val="14"/>
                <w:szCs w:val="14"/>
              </w:rPr>
              <w:t>• 0.10 lbs/MMBtu heat input daily average</w:t>
            </w:r>
          </w:p>
          <w:p w:rsidR="00CA1320" w:rsidRPr="00CA1320" w:rsidRDefault="00CA1320" w:rsidP="00CA1320">
            <w:pPr>
              <w:spacing w:before="20" w:after="20"/>
              <w:rPr>
                <w:rFonts w:cs="Arial"/>
                <w:sz w:val="14"/>
                <w:szCs w:val="14"/>
              </w:rPr>
            </w:pPr>
            <w:r w:rsidRPr="00CA1320">
              <w:rPr>
                <w:rFonts w:cs="Arial"/>
                <w:sz w:val="14"/>
                <w:szCs w:val="14"/>
              </w:rPr>
              <w:t>• System cap in lb/day based on rolling 30-day cap and maximum daily cap according to §117.1020(c)(1)-(2)</w:t>
            </w:r>
          </w:p>
          <w:p w:rsidR="00CA1320" w:rsidRPr="00CA1320" w:rsidRDefault="00CA1320" w:rsidP="00CA1320">
            <w:pPr>
              <w:spacing w:before="20" w:after="20"/>
              <w:rPr>
                <w:rFonts w:cs="Arial"/>
                <w:sz w:val="14"/>
                <w:szCs w:val="14"/>
              </w:rPr>
            </w:pPr>
            <w:r w:rsidRPr="00CA1320">
              <w:rPr>
                <w:rFonts w:cs="Arial"/>
                <w:sz w:val="14"/>
                <w:szCs w:val="14"/>
              </w:rPr>
              <w:t>Auxiliary steam boilers:</w:t>
            </w:r>
          </w:p>
          <w:p w:rsidR="00CA1320" w:rsidRPr="00CA1320" w:rsidRDefault="00CA1320" w:rsidP="00CA1320">
            <w:pPr>
              <w:spacing w:before="20" w:after="20"/>
              <w:rPr>
                <w:rFonts w:cs="Arial"/>
                <w:sz w:val="14"/>
                <w:szCs w:val="14"/>
              </w:rPr>
            </w:pPr>
            <w:r w:rsidRPr="00CA1320">
              <w:rPr>
                <w:rFonts w:cs="Arial"/>
                <w:sz w:val="14"/>
                <w:szCs w:val="14"/>
              </w:rPr>
              <w:t>• Natural gas or combination of natural gas and waste oil: 0.26 lb/MMBtu heat input rolling 24-hour and 0.20 lb/MMBtu heat input rolling 30-day</w:t>
            </w:r>
          </w:p>
          <w:p w:rsidR="00CA1320" w:rsidRPr="00CA1320" w:rsidRDefault="00CA1320" w:rsidP="00CA1320">
            <w:pPr>
              <w:spacing w:before="20" w:after="20"/>
              <w:rPr>
                <w:rFonts w:cs="Arial"/>
                <w:sz w:val="14"/>
                <w:szCs w:val="14"/>
              </w:rPr>
            </w:pPr>
            <w:r w:rsidRPr="00CA1320">
              <w:rPr>
                <w:rFonts w:cs="Arial"/>
                <w:sz w:val="14"/>
                <w:szCs w:val="14"/>
              </w:rPr>
              <w:t>• Fuel oil: 0.30 lb/MMBtu heat input rolling 24-hour</w:t>
            </w:r>
          </w:p>
          <w:p w:rsidR="00CA1320" w:rsidRPr="00CA1320" w:rsidRDefault="00CA1320" w:rsidP="00CA1320">
            <w:pPr>
              <w:spacing w:before="20" w:after="20"/>
              <w:rPr>
                <w:rFonts w:cs="Arial"/>
                <w:sz w:val="14"/>
                <w:szCs w:val="14"/>
              </w:rPr>
            </w:pPr>
            <w:r w:rsidRPr="00CA1320">
              <w:rPr>
                <w:rFonts w:cs="Arial"/>
                <w:sz w:val="14"/>
                <w:szCs w:val="14"/>
              </w:rPr>
              <w:t>• Mixture of natural gas and fuel oil: heat input weighted average of applicable (above) specifications rolling 24-hour according to §117.1005(d)</w:t>
            </w:r>
          </w:p>
          <w:p w:rsidR="00CA1320" w:rsidRPr="00CA1320" w:rsidRDefault="00CA1320" w:rsidP="00CA1320">
            <w:pPr>
              <w:spacing w:before="20" w:after="20"/>
              <w:rPr>
                <w:rFonts w:cs="Arial"/>
                <w:sz w:val="14"/>
                <w:szCs w:val="14"/>
              </w:rPr>
            </w:pPr>
            <w:r w:rsidRPr="00CA1320">
              <w:rPr>
                <w:rFonts w:cs="Arial"/>
                <w:sz w:val="14"/>
                <w:szCs w:val="14"/>
              </w:rPr>
              <w:t>• Or applicable NSPS NOx emission limit in Subparts D, Db, or Dc</w:t>
            </w:r>
          </w:p>
          <w:p w:rsidR="00CA1320" w:rsidRPr="00CA1320" w:rsidRDefault="00CA1320" w:rsidP="00CA1320">
            <w:pPr>
              <w:spacing w:before="20" w:after="20"/>
              <w:rPr>
                <w:rFonts w:cs="Arial"/>
                <w:sz w:val="14"/>
                <w:szCs w:val="14"/>
              </w:rPr>
            </w:pPr>
            <w:r w:rsidRPr="00CA1320">
              <w:rPr>
                <w:rFonts w:cs="Arial"/>
                <w:sz w:val="14"/>
                <w:szCs w:val="14"/>
              </w:rPr>
              <w:t>Stationary gas turbines:</w:t>
            </w:r>
          </w:p>
          <w:p w:rsidR="00CA1320" w:rsidRPr="00CA1320" w:rsidRDefault="00CA1320" w:rsidP="00CA1320">
            <w:pPr>
              <w:spacing w:before="20" w:after="20"/>
              <w:rPr>
                <w:rFonts w:cs="Arial"/>
                <w:sz w:val="14"/>
                <w:szCs w:val="14"/>
              </w:rPr>
            </w:pPr>
            <w:r w:rsidRPr="00CA1320">
              <w:rPr>
                <w:rFonts w:cs="Arial"/>
                <w:sz w:val="14"/>
                <w:szCs w:val="14"/>
              </w:rPr>
              <w:t>• Non-peaking units ≥ 30 MW (annual MWh ≥ 2500 hours X unit MW rating):</w:t>
            </w:r>
          </w:p>
          <w:p w:rsidR="00CA1320" w:rsidRPr="00CA1320" w:rsidRDefault="00CA1320" w:rsidP="00CA1320">
            <w:pPr>
              <w:spacing w:before="20" w:after="20"/>
              <w:rPr>
                <w:rFonts w:cs="Arial"/>
                <w:sz w:val="14"/>
                <w:szCs w:val="14"/>
              </w:rPr>
            </w:pPr>
            <w:r w:rsidRPr="00CA1320">
              <w:rPr>
                <w:rFonts w:cs="Arial"/>
                <w:sz w:val="14"/>
                <w:szCs w:val="14"/>
              </w:rPr>
              <w:t> Natural gas: 42 ppmv (15% O</w:t>
            </w:r>
            <w:r w:rsidR="00A53FC2" w:rsidRPr="00D9309F">
              <w:rPr>
                <w:rFonts w:cs="Arial"/>
                <w:sz w:val="14"/>
                <w:szCs w:val="14"/>
                <w:vertAlign w:val="subscript"/>
              </w:rPr>
              <w:t>2</w:t>
            </w:r>
            <w:r w:rsidR="00A53FC2" w:rsidRPr="00CA1320">
              <w:rPr>
                <w:rFonts w:cs="Arial"/>
                <w:sz w:val="14"/>
                <w:szCs w:val="14"/>
              </w:rPr>
              <w:t>, dry</w:t>
            </w:r>
            <w:r w:rsidRPr="00CA1320">
              <w:rPr>
                <w:rFonts w:cs="Arial"/>
                <w:sz w:val="14"/>
                <w:szCs w:val="14"/>
              </w:rPr>
              <w:t>) block one-hour</w:t>
            </w:r>
          </w:p>
          <w:p w:rsidR="00CA1320" w:rsidRPr="00CA1320" w:rsidRDefault="00CA1320" w:rsidP="00CA1320">
            <w:pPr>
              <w:spacing w:before="20" w:after="20"/>
              <w:rPr>
                <w:rFonts w:cs="Arial"/>
                <w:sz w:val="14"/>
                <w:szCs w:val="14"/>
              </w:rPr>
            </w:pPr>
            <w:r w:rsidRPr="00CA1320">
              <w:rPr>
                <w:rFonts w:cs="Arial"/>
                <w:sz w:val="14"/>
                <w:szCs w:val="14"/>
              </w:rPr>
              <w:t> Fuel oil: 65 ppmv (15% O</w:t>
            </w:r>
            <w:r w:rsidR="00A53FC2" w:rsidRPr="00D9309F">
              <w:rPr>
                <w:rFonts w:cs="Arial"/>
                <w:sz w:val="14"/>
                <w:szCs w:val="14"/>
                <w:vertAlign w:val="subscript"/>
              </w:rPr>
              <w:t>2</w:t>
            </w:r>
            <w:r w:rsidR="00A53FC2" w:rsidRPr="00CA1320">
              <w:rPr>
                <w:rFonts w:cs="Arial"/>
                <w:sz w:val="14"/>
                <w:szCs w:val="14"/>
              </w:rPr>
              <w:t>, dry</w:t>
            </w:r>
            <w:r w:rsidRPr="00CA1320">
              <w:rPr>
                <w:rFonts w:cs="Arial"/>
                <w:sz w:val="14"/>
                <w:szCs w:val="14"/>
              </w:rPr>
              <w:t>) block one-hour</w:t>
            </w:r>
          </w:p>
          <w:p w:rsidR="00CA1320" w:rsidRPr="00CA1320" w:rsidRDefault="00CA1320" w:rsidP="00CA1320">
            <w:pPr>
              <w:spacing w:before="20" w:after="20"/>
              <w:rPr>
                <w:rFonts w:cs="Arial"/>
                <w:sz w:val="14"/>
                <w:szCs w:val="14"/>
              </w:rPr>
            </w:pPr>
            <w:r w:rsidRPr="00CA1320">
              <w:rPr>
                <w:rFonts w:cs="Arial"/>
                <w:sz w:val="14"/>
                <w:szCs w:val="14"/>
              </w:rPr>
              <w:t>• Peaking units (annual MWh &lt; 2500 hours X unit MW rating):</w:t>
            </w:r>
          </w:p>
          <w:p w:rsidR="00CA1320" w:rsidRPr="00CA1320" w:rsidRDefault="00CA1320" w:rsidP="00CA1320">
            <w:pPr>
              <w:spacing w:before="20" w:after="20"/>
              <w:rPr>
                <w:rFonts w:cs="Arial"/>
                <w:sz w:val="14"/>
                <w:szCs w:val="14"/>
              </w:rPr>
            </w:pPr>
            <w:r w:rsidRPr="00CA1320">
              <w:rPr>
                <w:rFonts w:cs="Arial"/>
                <w:sz w:val="14"/>
                <w:szCs w:val="14"/>
              </w:rPr>
              <w:t> Natural gas: 0.20 lb/MMBtu heat input block one-hour</w:t>
            </w:r>
          </w:p>
          <w:p w:rsidR="00CA1320" w:rsidRPr="008B54F2" w:rsidRDefault="00CA1320" w:rsidP="00CA1320">
            <w:pPr>
              <w:spacing w:before="20" w:after="20"/>
              <w:rPr>
                <w:rFonts w:cs="Arial"/>
                <w:sz w:val="14"/>
                <w:szCs w:val="14"/>
              </w:rPr>
            </w:pPr>
            <w:r w:rsidRPr="00CA1320">
              <w:rPr>
                <w:rFonts w:cs="Arial"/>
                <w:sz w:val="14"/>
                <w:szCs w:val="14"/>
              </w:rPr>
              <w:t> Fuel oil: 0.30 lb/MMBtu heat input block one-hour</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Utah</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R307-424 Permits: Mercury Requirements for Electric Generating Units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A53FC2">
            <w:pPr>
              <w:spacing w:before="20" w:after="20"/>
              <w:rPr>
                <w:rFonts w:cs="Arial"/>
                <w:sz w:val="14"/>
                <w:szCs w:val="14"/>
              </w:rPr>
            </w:pPr>
            <w:r w:rsidRPr="008B54F2">
              <w:rPr>
                <w:rFonts w:cs="Arial"/>
                <w:sz w:val="14"/>
                <w:szCs w:val="14"/>
              </w:rPr>
              <w:t xml:space="preserve">90% removal of Hg content of fuel annually or  </w:t>
            </w:r>
            <w:r w:rsidR="001665F6">
              <w:rPr>
                <w:rFonts w:cs="Arial"/>
                <w:sz w:val="14"/>
                <w:szCs w:val="14"/>
              </w:rPr>
              <w:t>0</w:t>
            </w:r>
            <w:r w:rsidRPr="008B54F2">
              <w:rPr>
                <w:rFonts w:cs="Arial"/>
                <w:sz w:val="14"/>
                <w:szCs w:val="14"/>
              </w:rPr>
              <w:t>.65 lbs/</w:t>
            </w:r>
            <w:r w:rsidR="00A53FC2" w:rsidRPr="008B54F2">
              <w:rPr>
                <w:rFonts w:cs="Arial"/>
                <w:sz w:val="14"/>
                <w:szCs w:val="14"/>
              </w:rPr>
              <w:t>MM</w:t>
            </w:r>
            <w:r w:rsidR="00A53FC2">
              <w:rPr>
                <w:rFonts w:cs="Arial"/>
                <w:sz w:val="14"/>
                <w:szCs w:val="14"/>
              </w:rPr>
              <w:t>B</w:t>
            </w:r>
            <w:r w:rsidR="00A53FC2" w:rsidRPr="008B54F2">
              <w:rPr>
                <w:rFonts w:cs="Arial"/>
                <w:sz w:val="14"/>
                <w:szCs w:val="14"/>
              </w:rPr>
              <w:t xml:space="preserve">tu </w:t>
            </w:r>
            <w:r w:rsidRPr="008B54F2">
              <w:rPr>
                <w:rFonts w:cs="Arial"/>
                <w:sz w:val="14"/>
                <w:szCs w:val="14"/>
              </w:rPr>
              <w:t>for all coal units &gt; 25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2013</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Washington</w:t>
            </w: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Washington State House Bill 3141</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CO</w:t>
            </w:r>
            <w:r w:rsidRPr="008B54F2">
              <w:rPr>
                <w:rFonts w:cs="Arial"/>
                <w:sz w:val="14"/>
                <w:szCs w:val="14"/>
                <w:vertAlign w:val="subscript"/>
              </w:rPr>
              <w:t>2</w:t>
            </w:r>
          </w:p>
        </w:tc>
        <w:tc>
          <w:tcPr>
            <w:tcW w:w="5277" w:type="dxa"/>
            <w:shd w:val="clear" w:color="000000" w:fill="FFFFFF"/>
            <w:vAlign w:val="center"/>
            <w:hideMark/>
          </w:tcPr>
          <w:p w:rsidR="000B5BB0" w:rsidRPr="008B54F2" w:rsidRDefault="000B5BB0" w:rsidP="001665F6">
            <w:pPr>
              <w:spacing w:before="20" w:after="20"/>
              <w:rPr>
                <w:rFonts w:cs="Arial"/>
                <w:sz w:val="14"/>
                <w:szCs w:val="14"/>
              </w:rPr>
            </w:pPr>
            <w:r w:rsidRPr="008B54F2">
              <w:rPr>
                <w:rFonts w:cs="Arial"/>
                <w:sz w:val="14"/>
                <w:szCs w:val="14"/>
              </w:rPr>
              <w:t>$1.45/MTons cost (2004$) for all new fossil-fuel power plant</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2004</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Washington State House Bill 5769</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CO</w:t>
            </w:r>
            <w:r w:rsidRPr="008B54F2">
              <w:rPr>
                <w:rFonts w:cs="Arial"/>
                <w:sz w:val="14"/>
                <w:szCs w:val="14"/>
                <w:vertAlign w:val="subscript"/>
              </w:rPr>
              <w:t>2</w:t>
            </w:r>
          </w:p>
        </w:tc>
        <w:tc>
          <w:tcPr>
            <w:tcW w:w="5277" w:type="dxa"/>
            <w:shd w:val="clear" w:color="000000" w:fill="FFFFFF"/>
            <w:vAlign w:val="center"/>
            <w:hideMark/>
          </w:tcPr>
          <w:p w:rsidR="000B5BB0" w:rsidRPr="008B54F2" w:rsidRDefault="0025247F" w:rsidP="00CD188D">
            <w:pPr>
              <w:spacing w:before="20" w:after="20"/>
              <w:rPr>
                <w:rFonts w:cs="Arial"/>
                <w:sz w:val="14"/>
                <w:szCs w:val="14"/>
              </w:rPr>
            </w:pPr>
            <w:r>
              <w:rPr>
                <w:rFonts w:cs="Arial"/>
                <w:sz w:val="14"/>
                <w:szCs w:val="14"/>
              </w:rPr>
              <w:t>970</w:t>
            </w:r>
            <w:r w:rsidRPr="008B54F2">
              <w:rPr>
                <w:rFonts w:cs="Arial"/>
                <w:sz w:val="14"/>
                <w:szCs w:val="14"/>
              </w:rPr>
              <w:t xml:space="preserve"> </w:t>
            </w:r>
            <w:r w:rsidR="000B5BB0" w:rsidRPr="008B54F2">
              <w:rPr>
                <w:rFonts w:cs="Arial"/>
                <w:sz w:val="14"/>
                <w:szCs w:val="14"/>
              </w:rPr>
              <w:t>lbs/MWh rate limit for new coal plants</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2011</w:t>
            </w: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Wisconsin</w:t>
            </w: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NR 428 Wisconsin Administration Code</w:t>
            </w:r>
          </w:p>
        </w:tc>
        <w:tc>
          <w:tcPr>
            <w:tcW w:w="8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p w:rsidR="000B5BB0" w:rsidRPr="008B54F2" w:rsidRDefault="000B5BB0" w:rsidP="00CD188D">
            <w:pPr>
              <w:spacing w:before="20" w:after="20"/>
              <w:jc w:val="center"/>
              <w:rPr>
                <w:rFonts w:cs="Arial"/>
                <w:sz w:val="14"/>
                <w:szCs w:val="14"/>
              </w:rPr>
            </w:pPr>
            <w:r w:rsidRPr="008B54F2">
              <w:rPr>
                <w:rFonts w:cs="Arial"/>
                <w:sz w:val="14"/>
                <w:szCs w:val="14"/>
              </w:rPr>
              <w:t> </w:t>
            </w:r>
          </w:p>
          <w:p w:rsidR="000B5BB0" w:rsidRPr="008B54F2" w:rsidRDefault="000B5BB0" w:rsidP="00CD188D">
            <w:pPr>
              <w:spacing w:before="20" w:after="20"/>
              <w:jc w:val="center"/>
              <w:rPr>
                <w:rFonts w:cs="Arial"/>
                <w:sz w:val="14"/>
                <w:szCs w:val="14"/>
              </w:rPr>
            </w:pPr>
            <w:r w:rsidRPr="008B54F2">
              <w:rPr>
                <w:rFonts w:cs="Arial"/>
                <w:sz w:val="14"/>
                <w:szCs w:val="14"/>
              </w:rPr>
              <w:t> </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Annual rate limits in lbs/MMBtu for coal fired boilers &gt; 1,000 MMBtu/hr :</w:t>
            </w:r>
            <w:r w:rsidRPr="008B54F2">
              <w:rPr>
                <w:rFonts w:cs="Arial"/>
                <w:sz w:val="14"/>
                <w:szCs w:val="14"/>
              </w:rPr>
              <w:br/>
              <w:t>Wall fired, tangential fired, cyclone fired, and fluidized bed: 2013 onwards: 0.10</w:t>
            </w:r>
            <w:r w:rsidRPr="008B54F2">
              <w:rPr>
                <w:rFonts w:cs="Arial"/>
                <w:sz w:val="14"/>
                <w:szCs w:val="14"/>
              </w:rPr>
              <w:br/>
              <w:t>Arch fired: 2009 onwards: 0.18</w:t>
            </w:r>
          </w:p>
        </w:tc>
        <w:tc>
          <w:tcPr>
            <w:tcW w:w="1350"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2009</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jc w:val="center"/>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Annual rate limits in lbs/MMBtu for coal fired boilers between 500 and 1,000 MMBtu/hr: </w:t>
            </w:r>
            <w:r w:rsidRPr="008B54F2">
              <w:rPr>
                <w:rFonts w:cs="Arial"/>
                <w:sz w:val="14"/>
                <w:szCs w:val="14"/>
              </w:rPr>
              <w:br/>
              <w:t xml:space="preserve">Wall-fired with a heat release rate=&gt; 17,000 Btu per cubic feet per hour; 2013 onwards: 0.17  ; if heat input is lesser: </w:t>
            </w:r>
            <w:r w:rsidRPr="008B54F2">
              <w:rPr>
                <w:rFonts w:cs="Arial"/>
                <w:sz w:val="14"/>
                <w:szCs w:val="14"/>
              </w:rPr>
              <w:br/>
              <w:t>Tangential fired: 2009 onwards: 0.15</w:t>
            </w:r>
            <w:r w:rsidRPr="008B54F2">
              <w:rPr>
                <w:rFonts w:cs="Arial"/>
                <w:sz w:val="14"/>
                <w:szCs w:val="14"/>
              </w:rPr>
              <w:br/>
              <w:t>Cyclone fired:  2013 onwards: 0.15</w:t>
            </w:r>
            <w:r w:rsidRPr="008B54F2">
              <w:rPr>
                <w:rFonts w:cs="Arial"/>
                <w:sz w:val="14"/>
                <w:szCs w:val="14"/>
              </w:rPr>
              <w:br/>
              <w:t xml:space="preserve">Fluidized bed: 2013 onwards: 0.10 </w:t>
            </w:r>
            <w:r w:rsidRPr="008B54F2">
              <w:rPr>
                <w:rFonts w:cs="Arial"/>
                <w:sz w:val="14"/>
                <w:szCs w:val="14"/>
              </w:rPr>
              <w:br/>
              <w:t>Arch fired: 2009 onwards: 0.18</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jc w:val="center"/>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Annual rate limits in lbs/MMBtu for coal fired boilers between 250 and 500 MMBtu/hr: </w:t>
            </w:r>
            <w:r w:rsidRPr="008B54F2">
              <w:rPr>
                <w:rFonts w:cs="Arial"/>
                <w:sz w:val="14"/>
                <w:szCs w:val="14"/>
              </w:rPr>
              <w:br/>
              <w:t>Same as for coal boiled between 500 and 1000 MMBtu/hr in addition to:</w:t>
            </w:r>
            <w:r w:rsidRPr="008B54F2">
              <w:rPr>
                <w:rFonts w:cs="Arial"/>
                <w:sz w:val="14"/>
                <w:szCs w:val="14"/>
              </w:rPr>
              <w:br/>
              <w:t xml:space="preserve">Stoker Fired: </w:t>
            </w:r>
            <w:r w:rsidR="001665F6">
              <w:rPr>
                <w:rFonts w:cs="Arial"/>
                <w:sz w:val="14"/>
                <w:szCs w:val="14"/>
              </w:rPr>
              <w:t>0</w:t>
            </w:r>
            <w:r w:rsidRPr="008B54F2">
              <w:rPr>
                <w:rFonts w:cs="Arial"/>
                <w:sz w:val="14"/>
                <w:szCs w:val="14"/>
              </w:rPr>
              <w:t>.20</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vAlign w:val="center"/>
            <w:hideMark/>
          </w:tcPr>
          <w:p w:rsidR="000B5BB0" w:rsidRPr="008B54F2" w:rsidRDefault="000B5BB0" w:rsidP="00CD188D">
            <w:pPr>
              <w:spacing w:before="20" w:after="20"/>
              <w:jc w:val="center"/>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Annual rate limits in lbs/MMBtu for coal fired boilers between 50 and 250 MMBtu/hr: </w:t>
            </w:r>
            <w:r w:rsidRPr="008B54F2">
              <w:rPr>
                <w:rFonts w:cs="Arial"/>
                <w:sz w:val="14"/>
                <w:szCs w:val="14"/>
              </w:rPr>
              <w:br/>
              <w:t>Same as for coal boiled between 500 and 1000 MMBtu/hr in addition to:</w:t>
            </w:r>
            <w:r w:rsidRPr="008B54F2">
              <w:rPr>
                <w:rFonts w:cs="Arial"/>
                <w:sz w:val="14"/>
                <w:szCs w:val="14"/>
              </w:rPr>
              <w:br/>
              <w:t xml:space="preserve">Stoker Fired: </w:t>
            </w:r>
            <w:r w:rsidR="001665F6">
              <w:rPr>
                <w:rFonts w:cs="Arial"/>
                <w:sz w:val="14"/>
                <w:szCs w:val="14"/>
              </w:rPr>
              <w:t>0</w:t>
            </w:r>
            <w:r w:rsidRPr="008B54F2">
              <w:rPr>
                <w:rFonts w:cs="Arial"/>
                <w:sz w:val="14"/>
                <w:szCs w:val="14"/>
              </w:rPr>
              <w:t>.25</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shd w:val="clear" w:color="000000" w:fill="FFFFFF"/>
            <w:vAlign w:val="center"/>
            <w:hideMark/>
          </w:tcPr>
          <w:p w:rsidR="000B5BB0" w:rsidRPr="008B54F2" w:rsidRDefault="000B5BB0" w:rsidP="00CD188D">
            <w:pPr>
              <w:spacing w:before="20" w:after="20"/>
              <w:jc w:val="center"/>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Annual rate limits for CTs in lbs/MMBtu: </w:t>
            </w:r>
            <w:r w:rsidRPr="008B54F2">
              <w:rPr>
                <w:rFonts w:cs="Arial"/>
                <w:sz w:val="14"/>
                <w:szCs w:val="14"/>
              </w:rPr>
              <w:br/>
              <w:t>Natural gas CTs &gt; 50 MW: 0.11</w:t>
            </w:r>
            <w:r w:rsidRPr="008B54F2">
              <w:rPr>
                <w:rFonts w:cs="Arial"/>
                <w:sz w:val="14"/>
                <w:szCs w:val="14"/>
              </w:rPr>
              <w:br/>
              <w:t>Distillate oil CTs &gt; 50 MW: 0.28</w:t>
            </w:r>
            <w:r w:rsidRPr="008B54F2">
              <w:rPr>
                <w:rFonts w:cs="Arial"/>
                <w:sz w:val="14"/>
                <w:szCs w:val="14"/>
              </w:rPr>
              <w:br/>
              <w:t>Biologically derived fuel CTs &gt; 50 MW: 0.15</w:t>
            </w:r>
            <w:r w:rsidRPr="008B54F2">
              <w:rPr>
                <w:rFonts w:cs="Arial"/>
                <w:sz w:val="14"/>
                <w:szCs w:val="14"/>
              </w:rPr>
              <w:br/>
              <w:t>Natural gas CTs between 25 and 49 MW: 0.19</w:t>
            </w:r>
            <w:r w:rsidRPr="008B54F2">
              <w:rPr>
                <w:rFonts w:cs="Arial"/>
                <w:sz w:val="14"/>
                <w:szCs w:val="14"/>
              </w:rPr>
              <w:br/>
              <w:t>Distillate oil CTs between 25 and 49 MW: 0.41</w:t>
            </w:r>
            <w:r w:rsidRPr="008B54F2">
              <w:rPr>
                <w:rFonts w:cs="Arial"/>
                <w:sz w:val="14"/>
                <w:szCs w:val="14"/>
              </w:rPr>
              <w:br/>
              <w:t>Biologically derived fuel CTs between 25 and 49 MW: 0.15</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vMerge/>
            <w:shd w:val="clear" w:color="000000" w:fill="FFFFFF"/>
            <w:vAlign w:val="center"/>
            <w:hideMark/>
          </w:tcPr>
          <w:p w:rsidR="000B5BB0" w:rsidRPr="008B54F2" w:rsidRDefault="000B5BB0" w:rsidP="00CD188D">
            <w:pPr>
              <w:spacing w:before="20" w:after="20"/>
              <w:jc w:val="center"/>
              <w:rPr>
                <w:rFonts w:cs="Arial"/>
                <w:sz w:val="14"/>
                <w:szCs w:val="14"/>
              </w:rPr>
            </w:pP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xml:space="preserve">Annual rate limits for CCs in lbs/MMBtu: </w:t>
            </w:r>
            <w:r w:rsidRPr="008B54F2">
              <w:rPr>
                <w:rFonts w:cs="Arial"/>
                <w:sz w:val="14"/>
                <w:szCs w:val="14"/>
              </w:rPr>
              <w:br/>
              <w:t>Natural gas CCs &gt; 25 MW: 0.04</w:t>
            </w:r>
            <w:r w:rsidRPr="008B54F2">
              <w:rPr>
                <w:rFonts w:cs="Arial"/>
                <w:sz w:val="14"/>
                <w:szCs w:val="14"/>
              </w:rPr>
              <w:br/>
              <w:t>Distillate oil CCs &gt; 25 MW: 0.18</w:t>
            </w:r>
            <w:r w:rsidRPr="008B54F2">
              <w:rPr>
                <w:rFonts w:cs="Arial"/>
                <w:sz w:val="14"/>
                <w:szCs w:val="14"/>
              </w:rPr>
              <w:br/>
              <w:t>Biologically derived fuel CCs &gt; 25 MWs: 0.15</w:t>
            </w:r>
            <w:r w:rsidRPr="008B54F2">
              <w:rPr>
                <w:rFonts w:cs="Arial"/>
                <w:sz w:val="14"/>
                <w:szCs w:val="14"/>
              </w:rPr>
              <w:br/>
              <w:t>Natural gas CCs between 10 and 24 MW: 0.19</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Chapter NR 44.12/446.13 Control of Mercury Emissions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Large (150MW capacity or greater) or small (between 25 and 150 MW) coal-fired EGU, 2015 onwards: 90% removal of Hg content of fuel or 0.0080 lbs/GWh reduction in coal fired EGUs &gt; 150 MW</w:t>
            </w:r>
          </w:p>
        </w:tc>
        <w:tc>
          <w:tcPr>
            <w:tcW w:w="1350"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2015</w:t>
            </w:r>
          </w:p>
        </w:tc>
        <w:tc>
          <w:tcPr>
            <w:tcW w:w="3078" w:type="dxa"/>
            <w:shd w:val="clear" w:color="000000" w:fill="FFFFFF"/>
            <w:vAlign w:val="center"/>
            <w:hideMark/>
          </w:tcPr>
          <w:p w:rsidR="000B5BB0" w:rsidRPr="008B54F2" w:rsidRDefault="000B5BB0" w:rsidP="00CD188D">
            <w:pPr>
              <w:spacing w:before="20" w:after="20"/>
              <w:rPr>
                <w:rFonts w:cs="Arial"/>
                <w:sz w:val="14"/>
                <w:szCs w:val="14"/>
              </w:rPr>
            </w:pPr>
            <w:r w:rsidRPr="008B54F2">
              <w:rPr>
                <w:rFonts w:cs="Arial"/>
                <w:sz w:val="14"/>
                <w:szCs w:val="14"/>
              </w:rPr>
              <w:t> </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Chapter NR 446.14 Multi-pollutant reduction alternative for coal-fired electrical generating units</w:t>
            </w: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Hg</w:t>
            </w:r>
          </w:p>
        </w:tc>
        <w:tc>
          <w:tcPr>
            <w:tcW w:w="5277" w:type="dxa"/>
            <w:shd w:val="clear" w:color="000000" w:fill="FFFFFF"/>
            <w:vAlign w:val="bottom"/>
            <w:hideMark/>
          </w:tcPr>
          <w:p w:rsidR="000B5BB0" w:rsidRPr="008B54F2" w:rsidRDefault="000B5BB0" w:rsidP="00CD188D">
            <w:pPr>
              <w:spacing w:before="20" w:after="20"/>
              <w:rPr>
                <w:rFonts w:cs="Arial"/>
                <w:sz w:val="14"/>
                <w:szCs w:val="14"/>
              </w:rPr>
            </w:pPr>
            <w:r w:rsidRPr="008B54F2">
              <w:rPr>
                <w:rFonts w:cs="Arial"/>
                <w:sz w:val="14"/>
                <w:szCs w:val="14"/>
              </w:rPr>
              <w:t xml:space="preserve">All Coal&gt;25MW; </w:t>
            </w:r>
            <w:r w:rsidRPr="008B54F2">
              <w:rPr>
                <w:rFonts w:cs="Arial"/>
                <w:sz w:val="14"/>
                <w:szCs w:val="14"/>
              </w:rPr>
              <w:br/>
              <w:t xml:space="preserve">70% reduction in fuel, or </w:t>
            </w:r>
            <w:r w:rsidR="00BA5490">
              <w:rPr>
                <w:rFonts w:cs="Arial"/>
                <w:sz w:val="14"/>
                <w:szCs w:val="14"/>
              </w:rPr>
              <w:t>0</w:t>
            </w:r>
            <w:r w:rsidRPr="008B54F2">
              <w:rPr>
                <w:rFonts w:cs="Arial"/>
                <w:sz w:val="14"/>
                <w:szCs w:val="14"/>
              </w:rPr>
              <w:t>.0190 lbs per GW-hr from CY 2015 – CY 2017 (0.00005568 lbs/MMBtu)</w:t>
            </w:r>
            <w:r w:rsidRPr="008B54F2">
              <w:rPr>
                <w:rFonts w:cs="Arial"/>
                <w:sz w:val="14"/>
                <w:szCs w:val="14"/>
              </w:rPr>
              <w:br/>
              <w:t xml:space="preserve">80% reduction in fuel, or </w:t>
            </w:r>
            <w:r w:rsidR="00BA5490">
              <w:rPr>
                <w:rFonts w:cs="Arial"/>
                <w:sz w:val="14"/>
                <w:szCs w:val="14"/>
              </w:rPr>
              <w:t>0</w:t>
            </w:r>
            <w:r w:rsidRPr="008B54F2">
              <w:rPr>
                <w:rFonts w:cs="Arial"/>
                <w:sz w:val="14"/>
                <w:szCs w:val="14"/>
              </w:rPr>
              <w:t>.0130 lbs per GW-hr from CY2018 – CY 2020 (0.0000381 lbs/MMBtu)</w:t>
            </w:r>
            <w:r w:rsidRPr="008B54F2">
              <w:rPr>
                <w:rFonts w:cs="Arial"/>
                <w:sz w:val="14"/>
                <w:szCs w:val="14"/>
              </w:rPr>
              <w:br/>
              <w:t xml:space="preserve">90% reduction in fuel, or </w:t>
            </w:r>
            <w:r w:rsidR="00BA5490">
              <w:rPr>
                <w:rFonts w:cs="Arial"/>
                <w:sz w:val="14"/>
                <w:szCs w:val="14"/>
              </w:rPr>
              <w:t>0</w:t>
            </w:r>
            <w:r w:rsidRPr="008B54F2">
              <w:rPr>
                <w:rFonts w:cs="Arial"/>
                <w:sz w:val="14"/>
                <w:szCs w:val="14"/>
              </w:rPr>
              <w:t>.0080 lbs per GW-hr from January 1, 2021 onwards (0.00000234 lbs/MMBtu)</w:t>
            </w:r>
          </w:p>
        </w:tc>
        <w:tc>
          <w:tcPr>
            <w:tcW w:w="1350" w:type="dxa"/>
            <w:vMerge w:val="restart"/>
            <w:shd w:val="clear" w:color="000000" w:fill="FFFFFF"/>
            <w:noWrap/>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2015</w:t>
            </w:r>
          </w:p>
        </w:tc>
        <w:tc>
          <w:tcPr>
            <w:tcW w:w="3078" w:type="dxa"/>
            <w:vMerge w:val="restart"/>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Alternative already modeled in IPM</w:t>
            </w: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vAlign w:val="center"/>
            <w:hideMark/>
          </w:tcPr>
          <w:p w:rsidR="000B5BB0" w:rsidRPr="008B54F2" w:rsidRDefault="000B5BB0" w:rsidP="00CD188D">
            <w:pPr>
              <w:spacing w:before="20" w:after="20"/>
              <w:jc w:val="center"/>
              <w:rPr>
                <w:rFonts w:cs="Arial"/>
                <w:sz w:val="14"/>
                <w:szCs w:val="14"/>
              </w:rPr>
            </w:pPr>
            <w:r w:rsidRPr="008B54F2">
              <w:rPr>
                <w:rFonts w:cs="Arial"/>
                <w:sz w:val="14"/>
                <w:szCs w:val="14"/>
              </w:rPr>
              <w:t>SO</w:t>
            </w:r>
            <w:r w:rsidRPr="008B54F2">
              <w:rPr>
                <w:rFonts w:cs="Arial"/>
                <w:sz w:val="14"/>
                <w:szCs w:val="14"/>
                <w:vertAlign w:val="subscript"/>
              </w:rPr>
              <w:t>2</w:t>
            </w:r>
          </w:p>
        </w:tc>
        <w:tc>
          <w:tcPr>
            <w:tcW w:w="5277" w:type="dxa"/>
            <w:shd w:val="clear" w:color="000000" w:fill="FFFFFF"/>
            <w:noWrap/>
            <w:vAlign w:val="bottom"/>
            <w:hideMark/>
          </w:tcPr>
          <w:p w:rsidR="000B5BB0" w:rsidRPr="008B54F2" w:rsidRDefault="000B5BB0" w:rsidP="00CD188D">
            <w:pPr>
              <w:spacing w:before="20" w:after="20"/>
              <w:rPr>
                <w:rFonts w:cs="Arial"/>
                <w:sz w:val="14"/>
                <w:szCs w:val="14"/>
              </w:rPr>
            </w:pPr>
            <w:r w:rsidRPr="008B54F2">
              <w:rPr>
                <w:rFonts w:cs="Arial"/>
                <w:sz w:val="14"/>
                <w:szCs w:val="14"/>
              </w:rPr>
              <w:t xml:space="preserve">All Coal&gt;25MW; </w:t>
            </w:r>
            <w:r w:rsidR="00BA5490">
              <w:rPr>
                <w:rFonts w:cs="Arial"/>
                <w:sz w:val="14"/>
                <w:szCs w:val="14"/>
              </w:rPr>
              <w:t>0</w:t>
            </w:r>
            <w:r w:rsidRPr="008B54F2">
              <w:rPr>
                <w:rFonts w:cs="Arial"/>
                <w:sz w:val="14"/>
                <w:szCs w:val="14"/>
              </w:rPr>
              <w:t xml:space="preserve">.10 lbs per </w:t>
            </w:r>
            <w:r w:rsidR="00A53FC2" w:rsidRPr="008B54F2">
              <w:rPr>
                <w:rFonts w:cs="Arial"/>
                <w:sz w:val="14"/>
                <w:szCs w:val="14"/>
              </w:rPr>
              <w:t>MMBtu</w:t>
            </w:r>
            <w:r w:rsidRPr="008B54F2">
              <w:rPr>
                <w:rFonts w:cs="Arial"/>
                <w:sz w:val="14"/>
                <w:szCs w:val="14"/>
              </w:rPr>
              <w:t xml:space="preserve"> by January 1, 2015</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r w:rsidR="000B5BB0" w:rsidRPr="008B54F2" w:rsidTr="00CD188D">
        <w:trPr>
          <w:cantSplit/>
        </w:trPr>
        <w:tc>
          <w:tcPr>
            <w:tcW w:w="1159" w:type="dxa"/>
            <w:vMerge/>
            <w:vAlign w:val="center"/>
            <w:hideMark/>
          </w:tcPr>
          <w:p w:rsidR="000B5BB0" w:rsidRPr="008B54F2" w:rsidRDefault="000B5BB0" w:rsidP="00CD188D">
            <w:pPr>
              <w:spacing w:before="20" w:after="20"/>
              <w:rPr>
                <w:rFonts w:cs="Arial"/>
                <w:sz w:val="14"/>
                <w:szCs w:val="14"/>
              </w:rPr>
            </w:pPr>
          </w:p>
        </w:tc>
        <w:tc>
          <w:tcPr>
            <w:tcW w:w="1434" w:type="dxa"/>
            <w:vMerge/>
            <w:vAlign w:val="center"/>
            <w:hideMark/>
          </w:tcPr>
          <w:p w:rsidR="000B5BB0" w:rsidRPr="008B54F2" w:rsidRDefault="000B5BB0" w:rsidP="00CD188D">
            <w:pPr>
              <w:spacing w:before="20" w:after="20"/>
              <w:rPr>
                <w:rFonts w:cs="Arial"/>
                <w:sz w:val="14"/>
                <w:szCs w:val="14"/>
              </w:rPr>
            </w:pPr>
          </w:p>
        </w:tc>
        <w:tc>
          <w:tcPr>
            <w:tcW w:w="878" w:type="dxa"/>
            <w:shd w:val="clear" w:color="000000" w:fill="FFFFFF"/>
            <w:noWrap/>
            <w:vAlign w:val="bottom"/>
            <w:hideMark/>
          </w:tcPr>
          <w:p w:rsidR="000B5BB0" w:rsidRPr="008B54F2" w:rsidRDefault="000B5BB0" w:rsidP="00CD188D">
            <w:pPr>
              <w:spacing w:before="20" w:after="20"/>
              <w:jc w:val="center"/>
              <w:rPr>
                <w:rFonts w:cs="Arial"/>
                <w:sz w:val="14"/>
                <w:szCs w:val="14"/>
              </w:rPr>
            </w:pPr>
            <w:r w:rsidRPr="008B54F2">
              <w:rPr>
                <w:rFonts w:cs="Arial"/>
                <w:sz w:val="14"/>
                <w:szCs w:val="14"/>
              </w:rPr>
              <w:t>NO</w:t>
            </w:r>
            <w:r w:rsidRPr="008B54F2">
              <w:rPr>
                <w:rFonts w:cs="Arial"/>
                <w:sz w:val="14"/>
                <w:szCs w:val="14"/>
                <w:vertAlign w:val="subscript"/>
              </w:rPr>
              <w:t>x</w:t>
            </w:r>
          </w:p>
        </w:tc>
        <w:tc>
          <w:tcPr>
            <w:tcW w:w="5277" w:type="dxa"/>
            <w:shd w:val="clear" w:color="000000" w:fill="FFFFFF"/>
            <w:noWrap/>
            <w:vAlign w:val="bottom"/>
            <w:hideMark/>
          </w:tcPr>
          <w:p w:rsidR="000B5BB0" w:rsidRPr="008B54F2" w:rsidRDefault="000B5BB0" w:rsidP="00CD188D">
            <w:pPr>
              <w:spacing w:before="20" w:after="20"/>
              <w:rPr>
                <w:rFonts w:cs="Arial"/>
                <w:sz w:val="14"/>
                <w:szCs w:val="14"/>
              </w:rPr>
            </w:pPr>
            <w:r w:rsidRPr="008B54F2">
              <w:rPr>
                <w:rFonts w:cs="Arial"/>
                <w:sz w:val="14"/>
                <w:szCs w:val="14"/>
              </w:rPr>
              <w:t xml:space="preserve">All Coal&gt;25MW; 0.07 lbs per </w:t>
            </w:r>
            <w:r w:rsidR="00A53FC2" w:rsidRPr="008B54F2">
              <w:rPr>
                <w:rFonts w:cs="Arial"/>
                <w:sz w:val="14"/>
                <w:szCs w:val="14"/>
              </w:rPr>
              <w:t>MMBtu</w:t>
            </w:r>
            <w:r w:rsidRPr="008B54F2">
              <w:rPr>
                <w:rFonts w:cs="Arial"/>
                <w:sz w:val="14"/>
                <w:szCs w:val="14"/>
              </w:rPr>
              <w:t xml:space="preserve"> by January 1, 2015</w:t>
            </w:r>
          </w:p>
        </w:tc>
        <w:tc>
          <w:tcPr>
            <w:tcW w:w="1350" w:type="dxa"/>
            <w:vMerge/>
            <w:vAlign w:val="center"/>
            <w:hideMark/>
          </w:tcPr>
          <w:p w:rsidR="000B5BB0" w:rsidRPr="008B54F2" w:rsidRDefault="000B5BB0" w:rsidP="00CD188D">
            <w:pPr>
              <w:spacing w:before="20" w:after="20"/>
              <w:rPr>
                <w:rFonts w:cs="Arial"/>
                <w:sz w:val="14"/>
                <w:szCs w:val="14"/>
              </w:rPr>
            </w:pPr>
          </w:p>
        </w:tc>
        <w:tc>
          <w:tcPr>
            <w:tcW w:w="3078" w:type="dxa"/>
            <w:vMerge/>
            <w:vAlign w:val="center"/>
            <w:hideMark/>
          </w:tcPr>
          <w:p w:rsidR="000B5BB0" w:rsidRPr="008B54F2" w:rsidRDefault="000B5BB0" w:rsidP="00CD188D">
            <w:pPr>
              <w:spacing w:before="20" w:after="20"/>
              <w:rPr>
                <w:rFonts w:cs="Arial"/>
                <w:sz w:val="14"/>
                <w:szCs w:val="14"/>
              </w:rPr>
            </w:pPr>
          </w:p>
        </w:tc>
      </w:tr>
    </w:tbl>
    <w:p w:rsidR="00B20C6B" w:rsidRDefault="00B20C6B" w:rsidP="00B20C6B">
      <w:pPr>
        <w:pStyle w:val="NormalWeb"/>
        <w:shd w:val="clear" w:color="auto" w:fill="FFFFFF"/>
        <w:spacing w:before="0" w:beforeAutospacing="0" w:after="360" w:afterAutospacing="0" w:line="216" w:lineRule="atLeast"/>
        <w:rPr>
          <w:rFonts w:ascii="Arial" w:eastAsiaTheme="minorHAnsi" w:hAnsi="Arial" w:cs="Arial"/>
          <w:b/>
          <w:color w:val="151515"/>
          <w:sz w:val="20"/>
          <w:szCs w:val="20"/>
        </w:rPr>
      </w:pPr>
    </w:p>
    <w:sectPr w:rsidR="00B20C6B" w:rsidSect="00B20C6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6B"/>
    <w:rsid w:val="00097E43"/>
    <w:rsid w:val="000A5DEC"/>
    <w:rsid w:val="000B5BB0"/>
    <w:rsid w:val="001665F6"/>
    <w:rsid w:val="0025247F"/>
    <w:rsid w:val="002967A9"/>
    <w:rsid w:val="0030664E"/>
    <w:rsid w:val="00454E67"/>
    <w:rsid w:val="004D4FB7"/>
    <w:rsid w:val="005D529D"/>
    <w:rsid w:val="006007B0"/>
    <w:rsid w:val="0066600C"/>
    <w:rsid w:val="00784DB8"/>
    <w:rsid w:val="007C3F0B"/>
    <w:rsid w:val="007F402B"/>
    <w:rsid w:val="00831454"/>
    <w:rsid w:val="00860C90"/>
    <w:rsid w:val="009052ED"/>
    <w:rsid w:val="00A53FC2"/>
    <w:rsid w:val="00B20C6B"/>
    <w:rsid w:val="00B41272"/>
    <w:rsid w:val="00BA5490"/>
    <w:rsid w:val="00BA7DC3"/>
    <w:rsid w:val="00C11F1E"/>
    <w:rsid w:val="00C940CA"/>
    <w:rsid w:val="00CA1320"/>
    <w:rsid w:val="00CA20B8"/>
    <w:rsid w:val="00CC483F"/>
    <w:rsid w:val="00CD188D"/>
    <w:rsid w:val="00CE4460"/>
    <w:rsid w:val="00D9309F"/>
    <w:rsid w:val="00E0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87A3F-C32E-489E-B37F-CBF5DED9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6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C6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E43"/>
    <w:rPr>
      <w:rFonts w:ascii="Tahoma" w:hAnsi="Tahoma" w:cs="Tahoma"/>
      <w:sz w:val="16"/>
      <w:szCs w:val="16"/>
    </w:rPr>
  </w:style>
  <w:style w:type="character" w:customStyle="1" w:styleId="BalloonTextChar">
    <w:name w:val="Balloon Text Char"/>
    <w:basedOn w:val="DefaultParagraphFont"/>
    <w:link w:val="BalloonText"/>
    <w:uiPriority w:val="99"/>
    <w:semiHidden/>
    <w:rsid w:val="00097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4665">
      <w:bodyDiv w:val="1"/>
      <w:marLeft w:val="0"/>
      <w:marRight w:val="0"/>
      <w:marTop w:val="0"/>
      <w:marBottom w:val="0"/>
      <w:divBdr>
        <w:top w:val="none" w:sz="0" w:space="0" w:color="auto"/>
        <w:left w:val="none" w:sz="0" w:space="0" w:color="auto"/>
        <w:bottom w:val="none" w:sz="0" w:space="0" w:color="auto"/>
        <w:right w:val="none" w:sz="0" w:space="0" w:color="auto"/>
      </w:divBdr>
    </w:div>
    <w:div w:id="2851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c.ny.gov/regs/830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2017-12-09T18:45:00Z</dcterms:created>
  <dcterms:modified xsi:type="dcterms:W3CDTF">2018-05-28T17:13:00Z</dcterms:modified>
</cp:coreProperties>
</file>