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68CE" w14:textId="77777777" w:rsidR="00FD2969" w:rsidRPr="00B5249D" w:rsidRDefault="00FD2969">
      <w:pPr>
        <w:widowControl/>
        <w:jc w:val="center"/>
        <w:rPr>
          <w:b/>
          <w:bCs/>
        </w:rPr>
      </w:pPr>
      <w:bookmarkStart w:id="0" w:name="a_Toc494875394"/>
      <w:r w:rsidRPr="00B5249D">
        <w:rPr>
          <w:b/>
          <w:bCs/>
        </w:rPr>
        <w:t>U.S. Environmental Protection Agency</w:t>
      </w:r>
    </w:p>
    <w:p w14:paraId="55606A45" w14:textId="77777777" w:rsidR="0026219B" w:rsidRPr="00B5249D" w:rsidRDefault="0026219B" w:rsidP="0026219B">
      <w:pPr>
        <w:widowControl/>
        <w:jc w:val="center"/>
        <w:rPr>
          <w:b/>
          <w:bCs/>
        </w:rPr>
      </w:pPr>
      <w:r w:rsidRPr="00B5249D">
        <w:rPr>
          <w:b/>
          <w:bCs/>
        </w:rPr>
        <w:t>OFFICE OF ADMINISTRATION AND RESOURCES MANAGEMENT</w:t>
      </w:r>
    </w:p>
    <w:p w14:paraId="6ED9C52F" w14:textId="77777777" w:rsidR="0026219B" w:rsidRPr="00B5249D" w:rsidRDefault="0026219B" w:rsidP="0026219B">
      <w:pPr>
        <w:widowControl/>
        <w:jc w:val="center"/>
        <w:rPr>
          <w:b/>
          <w:bCs/>
        </w:rPr>
      </w:pPr>
      <w:r w:rsidRPr="00B5249D">
        <w:rPr>
          <w:b/>
          <w:bCs/>
        </w:rPr>
        <w:t>OFFICE OF RESEARCH AND DEVELOPMENT</w:t>
      </w:r>
    </w:p>
    <w:p w14:paraId="336EA066" w14:textId="77777777" w:rsidR="0026219B" w:rsidRPr="00B5249D" w:rsidRDefault="0026219B" w:rsidP="0026219B">
      <w:pPr>
        <w:widowControl/>
        <w:jc w:val="center"/>
        <w:rPr>
          <w:b/>
          <w:bCs/>
        </w:rPr>
      </w:pPr>
      <w:r w:rsidRPr="00B5249D">
        <w:rPr>
          <w:b/>
          <w:bCs/>
        </w:rPr>
        <w:t>CINCINNATI, OHIO</w:t>
      </w:r>
    </w:p>
    <w:p w14:paraId="360C3A81" w14:textId="77777777" w:rsidR="00FD2969" w:rsidRPr="00B5249D" w:rsidRDefault="00FD2969">
      <w:pPr>
        <w:widowControl/>
        <w:jc w:val="center"/>
        <w:rPr>
          <w:b/>
          <w:bCs/>
        </w:rPr>
      </w:pPr>
    </w:p>
    <w:p w14:paraId="0E2D2B5A" w14:textId="60D5B439" w:rsidR="00FD2969" w:rsidRPr="00B5249D" w:rsidRDefault="00E97347">
      <w:pPr>
        <w:widowControl/>
        <w:jc w:val="center"/>
        <w:rPr>
          <w:b/>
          <w:bCs/>
        </w:rPr>
      </w:pPr>
      <w:r>
        <w:rPr>
          <w:b/>
          <w:bCs/>
        </w:rPr>
        <w:t>Safety, Health, &amp;</w:t>
      </w:r>
      <w:r w:rsidR="00591E8B">
        <w:rPr>
          <w:b/>
          <w:bCs/>
        </w:rPr>
        <w:t xml:space="preserve"> </w:t>
      </w:r>
      <w:r w:rsidR="00FD2969" w:rsidRPr="00B5249D">
        <w:rPr>
          <w:b/>
          <w:bCs/>
        </w:rPr>
        <w:t>Environmental Management System Procedure for:</w:t>
      </w:r>
    </w:p>
    <w:p w14:paraId="75E4CFEB" w14:textId="77777777" w:rsidR="00FD2969" w:rsidRPr="00B5249D" w:rsidRDefault="00FD2969">
      <w:pPr>
        <w:widowControl/>
        <w:jc w:val="center"/>
        <w:rPr>
          <w:b/>
          <w:bCs/>
        </w:rPr>
      </w:pPr>
    </w:p>
    <w:p w14:paraId="66095B5C" w14:textId="77777777" w:rsidR="00FD2969" w:rsidRPr="00B5249D" w:rsidRDefault="00FB51EC">
      <w:pPr>
        <w:widowControl/>
        <w:jc w:val="center"/>
      </w:pPr>
      <w:r w:rsidRPr="00B5249D">
        <w:rPr>
          <w:b/>
          <w:bCs/>
        </w:rPr>
        <w:t xml:space="preserve">Scope of </w:t>
      </w:r>
      <w:r w:rsidR="00E97347">
        <w:rPr>
          <w:b/>
          <w:bCs/>
        </w:rPr>
        <w:t xml:space="preserve">Safety, Health, &amp; </w:t>
      </w:r>
      <w:r w:rsidRPr="00B5249D">
        <w:rPr>
          <w:b/>
          <w:bCs/>
        </w:rPr>
        <w:t>Environmental Management System</w:t>
      </w:r>
    </w:p>
    <w:p w14:paraId="1002D555" w14:textId="77777777" w:rsidR="000C37C2" w:rsidRDefault="000C37C2">
      <w:pPr>
        <w:pStyle w:val="Heading7"/>
        <w:keepNext/>
        <w:keepLines/>
        <w:widowControl/>
        <w:rPr>
          <w:sz w:val="24"/>
          <w:szCs w:val="24"/>
        </w:rPr>
      </w:pPr>
      <w:bookmarkStart w:id="1" w:name="a_Toc494875335"/>
      <w:bookmarkEnd w:id="0"/>
    </w:p>
    <w:p w14:paraId="57BEC97C" w14:textId="77777777" w:rsidR="00FD2969" w:rsidRPr="00B5249D" w:rsidRDefault="00FD2969">
      <w:pPr>
        <w:pStyle w:val="Heading7"/>
        <w:keepNext/>
        <w:keepLines/>
        <w:widowControl/>
        <w:rPr>
          <w:sz w:val="24"/>
          <w:szCs w:val="24"/>
        </w:rPr>
      </w:pPr>
      <w:r w:rsidRPr="00B5249D">
        <w:rPr>
          <w:sz w:val="24"/>
          <w:szCs w:val="24"/>
        </w:rPr>
        <w:t>Purpose</w:t>
      </w:r>
      <w:bookmarkEnd w:id="1"/>
    </w:p>
    <w:p w14:paraId="4D448F4F" w14:textId="77777777" w:rsidR="00FD2969" w:rsidRPr="00B5249D" w:rsidRDefault="00FD2969">
      <w:pPr>
        <w:keepLines/>
        <w:widowControl/>
      </w:pPr>
    </w:p>
    <w:p w14:paraId="5A3AADCD" w14:textId="58812153" w:rsidR="00FD2969" w:rsidRPr="00B5249D" w:rsidRDefault="0062168E">
      <w:pPr>
        <w:widowControl/>
      </w:pPr>
      <w:r>
        <w:t>T</w:t>
      </w:r>
      <w:r w:rsidR="00FD2969" w:rsidRPr="00B5249D">
        <w:t>his procedure establish</w:t>
      </w:r>
      <w:r>
        <w:t>es</w:t>
      </w:r>
      <w:r w:rsidR="00FD2969" w:rsidRPr="00B5249D">
        <w:t xml:space="preserve"> </w:t>
      </w:r>
      <w:r w:rsidR="00BB5191" w:rsidRPr="00B5249D">
        <w:t xml:space="preserve">the scope of the EPA Cincinnati </w:t>
      </w:r>
      <w:r w:rsidR="00E97347">
        <w:t xml:space="preserve">Safety, Health, &amp; </w:t>
      </w:r>
      <w:r w:rsidR="00BB5191" w:rsidRPr="00B5249D">
        <w:t>Environmental Management System</w:t>
      </w:r>
      <w:r w:rsidR="00E97347">
        <w:t xml:space="preserve"> (SHEMS)</w:t>
      </w:r>
      <w:r w:rsidR="00BB5191" w:rsidRPr="00B5249D">
        <w:t>.</w:t>
      </w:r>
      <w:r w:rsidR="001A007E">
        <w:t xml:space="preserve"> </w:t>
      </w:r>
    </w:p>
    <w:p w14:paraId="182A8517" w14:textId="77777777" w:rsidR="00BB5191" w:rsidRPr="00B5249D" w:rsidRDefault="00BB5191">
      <w:pPr>
        <w:widowControl/>
      </w:pPr>
    </w:p>
    <w:p w14:paraId="3240813F" w14:textId="77777777" w:rsidR="00FD2969" w:rsidRPr="00B5249D" w:rsidRDefault="00FD2969">
      <w:pPr>
        <w:pStyle w:val="Heading7"/>
        <w:keepNext/>
        <w:keepLines/>
        <w:widowControl/>
        <w:rPr>
          <w:sz w:val="24"/>
          <w:szCs w:val="24"/>
        </w:rPr>
      </w:pPr>
      <w:bookmarkStart w:id="2" w:name="a_Toc494875336"/>
      <w:r w:rsidRPr="00B5249D">
        <w:rPr>
          <w:sz w:val="24"/>
          <w:szCs w:val="24"/>
        </w:rPr>
        <w:t>Scope</w:t>
      </w:r>
      <w:bookmarkEnd w:id="2"/>
    </w:p>
    <w:p w14:paraId="6FAB2912" w14:textId="77777777" w:rsidR="00FD2969" w:rsidRPr="00B5249D" w:rsidRDefault="00FD2969">
      <w:pPr>
        <w:keepLines/>
        <w:widowControl/>
      </w:pPr>
    </w:p>
    <w:p w14:paraId="145399EB" w14:textId="039D0D00" w:rsidR="00BB5191" w:rsidRPr="00B5249D" w:rsidRDefault="0068794A" w:rsidP="00A52BCE">
      <w:pPr>
        <w:spacing w:after="300" w:line="300" w:lineRule="atLeast"/>
        <w:rPr>
          <w:bCs/>
        </w:rPr>
      </w:pPr>
      <w:r>
        <w:rPr>
          <w:bCs/>
        </w:rPr>
        <w:t>The US</w:t>
      </w:r>
      <w:r w:rsidR="00467B2E" w:rsidRPr="00B5249D">
        <w:rPr>
          <w:bCs/>
        </w:rPr>
        <w:t xml:space="preserve"> EPA maintains and </w:t>
      </w:r>
      <w:r w:rsidR="004339B2" w:rsidRPr="00B5249D">
        <w:rPr>
          <w:bCs/>
        </w:rPr>
        <w:t xml:space="preserve">operates </w:t>
      </w:r>
      <w:r w:rsidR="004339B2">
        <w:rPr>
          <w:bCs/>
        </w:rPr>
        <w:t>nine</w:t>
      </w:r>
      <w:r w:rsidR="00BB5191" w:rsidRPr="00B5249D">
        <w:rPr>
          <w:bCs/>
        </w:rPr>
        <w:t xml:space="preserve"> facilities in the Cincinnati area,</w:t>
      </w:r>
      <w:r w:rsidR="004071F4" w:rsidRPr="00B5249D">
        <w:rPr>
          <w:bCs/>
        </w:rPr>
        <w:t xml:space="preserve"> </w:t>
      </w:r>
      <w:r w:rsidR="009C2093" w:rsidRPr="00B5249D">
        <w:rPr>
          <w:bCs/>
        </w:rPr>
        <w:t>five</w:t>
      </w:r>
      <w:r w:rsidR="00BB5191" w:rsidRPr="00B5249D">
        <w:rPr>
          <w:bCs/>
        </w:rPr>
        <w:t xml:space="preserve"> of which are laboratory </w:t>
      </w:r>
      <w:r w:rsidR="004339B2" w:rsidRPr="00B5249D">
        <w:rPr>
          <w:bCs/>
        </w:rPr>
        <w:t xml:space="preserve">based, </w:t>
      </w:r>
      <w:r w:rsidR="004339B2">
        <w:rPr>
          <w:bCs/>
        </w:rPr>
        <w:t>one</w:t>
      </w:r>
      <w:r w:rsidR="004339B2" w:rsidRPr="00B5249D">
        <w:rPr>
          <w:bCs/>
        </w:rPr>
        <w:t xml:space="preserve"> which</w:t>
      </w:r>
      <w:r w:rsidR="00467B2E" w:rsidRPr="00B5249D">
        <w:rPr>
          <w:bCs/>
        </w:rPr>
        <w:t xml:space="preserve"> </w:t>
      </w:r>
      <w:r w:rsidR="00F462DD">
        <w:rPr>
          <w:bCs/>
        </w:rPr>
        <w:t xml:space="preserve">is </w:t>
      </w:r>
      <w:r w:rsidR="00467B2E" w:rsidRPr="00B5249D">
        <w:rPr>
          <w:bCs/>
        </w:rPr>
        <w:t>administrative,</w:t>
      </w:r>
      <w:r w:rsidR="008165EC" w:rsidRPr="008165EC">
        <w:rPr>
          <w:bCs/>
        </w:rPr>
        <w:t xml:space="preserve"> </w:t>
      </w:r>
      <w:r w:rsidR="008165EC">
        <w:rPr>
          <w:bCs/>
        </w:rPr>
        <w:t xml:space="preserve">and three facilities that </w:t>
      </w:r>
      <w:r w:rsidR="00E37816">
        <w:rPr>
          <w:bCs/>
        </w:rPr>
        <w:t>provide operations support.</w:t>
      </w:r>
      <w:r w:rsidR="008165EC">
        <w:rPr>
          <w:bCs/>
        </w:rPr>
        <w:t xml:space="preserve"> </w:t>
      </w:r>
      <w:r>
        <w:rPr>
          <w:bCs/>
        </w:rPr>
        <w:t xml:space="preserve"> </w:t>
      </w:r>
      <w:r w:rsidR="004339B2">
        <w:rPr>
          <w:bCs/>
        </w:rPr>
        <w:t>The nine</w:t>
      </w:r>
      <w:r w:rsidR="00CB0FF2">
        <w:rPr>
          <w:bCs/>
        </w:rPr>
        <w:t xml:space="preserve"> facilities are:</w:t>
      </w:r>
    </w:p>
    <w:p w14:paraId="664481F1" w14:textId="77777777" w:rsidR="00CE3B39" w:rsidRPr="00B5249D" w:rsidRDefault="00BB5191" w:rsidP="00D633D3">
      <w:pPr>
        <w:numPr>
          <w:ilvl w:val="0"/>
          <w:numId w:val="5"/>
        </w:numPr>
        <w:rPr>
          <w:bCs/>
        </w:rPr>
      </w:pPr>
      <w:r w:rsidRPr="00B5249D">
        <w:rPr>
          <w:bCs/>
        </w:rPr>
        <w:t xml:space="preserve">The Andrew W. Breidenbach Environmental Research Center </w:t>
      </w:r>
      <w:r w:rsidR="00CB0FF2">
        <w:rPr>
          <w:bCs/>
        </w:rPr>
        <w:t xml:space="preserve">(AWBERC) </w:t>
      </w:r>
      <w:r w:rsidRPr="00B5249D">
        <w:rPr>
          <w:bCs/>
        </w:rPr>
        <w:t xml:space="preserve">which </w:t>
      </w:r>
      <w:r w:rsidR="00AE26B0">
        <w:rPr>
          <w:bCs/>
        </w:rPr>
        <w:t>consists of laboratories</w:t>
      </w:r>
      <w:r w:rsidRPr="00B5249D">
        <w:rPr>
          <w:bCs/>
        </w:rPr>
        <w:t xml:space="preserve"> and offices.</w:t>
      </w:r>
    </w:p>
    <w:p w14:paraId="6D39F5E1" w14:textId="77777777" w:rsidR="00CE3B39" w:rsidRPr="00B5249D" w:rsidRDefault="00CE3B39" w:rsidP="00D633D3">
      <w:pPr>
        <w:ind w:left="360" w:hanging="360"/>
        <w:rPr>
          <w:bCs/>
        </w:rPr>
      </w:pPr>
    </w:p>
    <w:p w14:paraId="639AB831" w14:textId="77777777" w:rsidR="00BB5191" w:rsidRPr="00B5249D" w:rsidRDefault="0069041A" w:rsidP="00D633D3">
      <w:pPr>
        <w:numPr>
          <w:ilvl w:val="0"/>
          <w:numId w:val="5"/>
        </w:numPr>
        <w:rPr>
          <w:bCs/>
        </w:rPr>
      </w:pPr>
      <w:r w:rsidRPr="00B5249D">
        <w:rPr>
          <w:bCs/>
        </w:rPr>
        <w:t xml:space="preserve">The Full Containment Facility (FCF) </w:t>
      </w:r>
      <w:r w:rsidR="00B5249D" w:rsidRPr="00B5249D">
        <w:rPr>
          <w:bCs/>
        </w:rPr>
        <w:t>which</w:t>
      </w:r>
      <w:r w:rsidRPr="00B5249D">
        <w:rPr>
          <w:bCs/>
        </w:rPr>
        <w:t xml:space="preserve"> </w:t>
      </w:r>
      <w:r w:rsidR="00CB0FF2">
        <w:rPr>
          <w:bCs/>
        </w:rPr>
        <w:t>consists of laboratories and offices and is adjacent to AWBERC.</w:t>
      </w:r>
    </w:p>
    <w:p w14:paraId="41990897" w14:textId="77777777" w:rsidR="00BB5191" w:rsidRPr="00B5249D" w:rsidRDefault="00BB5191" w:rsidP="00D633D3">
      <w:pPr>
        <w:ind w:left="360" w:hanging="360"/>
        <w:rPr>
          <w:bCs/>
        </w:rPr>
      </w:pPr>
    </w:p>
    <w:p w14:paraId="26EB6C10" w14:textId="77777777" w:rsidR="00BB5191" w:rsidRDefault="00BB5191" w:rsidP="00D633D3">
      <w:pPr>
        <w:numPr>
          <w:ilvl w:val="0"/>
          <w:numId w:val="5"/>
        </w:numPr>
        <w:rPr>
          <w:bCs/>
        </w:rPr>
      </w:pPr>
      <w:r w:rsidRPr="00CB0FF2">
        <w:rPr>
          <w:bCs/>
        </w:rPr>
        <w:t>Th</w:t>
      </w:r>
      <w:r w:rsidR="00AE26B0" w:rsidRPr="00CB0FF2">
        <w:rPr>
          <w:bCs/>
        </w:rPr>
        <w:t>e Testing and Evaluation (T&amp;E) F</w:t>
      </w:r>
      <w:r w:rsidRPr="00CB0FF2">
        <w:rPr>
          <w:bCs/>
        </w:rPr>
        <w:t>acility, which is adjacent to the Cincinnati Metropolitan Sewer Distric</w:t>
      </w:r>
      <w:r w:rsidR="00CB0FF2" w:rsidRPr="00CB0FF2">
        <w:rPr>
          <w:bCs/>
        </w:rPr>
        <w:t>t’s Mill Creek treatment plant and consists of laboratories</w:t>
      </w:r>
      <w:r w:rsidR="00E80840">
        <w:rPr>
          <w:bCs/>
        </w:rPr>
        <w:t>, offices, and a b</w:t>
      </w:r>
      <w:r w:rsidR="00CB0FF2" w:rsidRPr="00CB0FF2">
        <w:rPr>
          <w:bCs/>
        </w:rPr>
        <w:t>ay for large-scale research and development</w:t>
      </w:r>
      <w:r w:rsidR="00E80840">
        <w:rPr>
          <w:bCs/>
        </w:rPr>
        <w:t xml:space="preserve"> projects</w:t>
      </w:r>
      <w:r w:rsidR="00CB0FF2" w:rsidRPr="00CB0FF2">
        <w:rPr>
          <w:bCs/>
        </w:rPr>
        <w:t xml:space="preserve">.  </w:t>
      </w:r>
    </w:p>
    <w:p w14:paraId="309D682C" w14:textId="77777777" w:rsidR="00CB0FF2" w:rsidRPr="00CB0FF2" w:rsidRDefault="00CB0FF2" w:rsidP="00D633D3">
      <w:pPr>
        <w:ind w:left="360" w:hanging="360"/>
        <w:rPr>
          <w:bCs/>
        </w:rPr>
      </w:pPr>
    </w:p>
    <w:p w14:paraId="21B228F7" w14:textId="0DE52B32" w:rsidR="00BB5191" w:rsidRPr="00E80840" w:rsidRDefault="00E80840" w:rsidP="00D633D3">
      <w:pPr>
        <w:pStyle w:val="Default"/>
        <w:numPr>
          <w:ilvl w:val="0"/>
          <w:numId w:val="5"/>
        </w:numPr>
        <w:rPr>
          <w:bCs/>
        </w:rPr>
      </w:pPr>
      <w:r w:rsidRPr="00E80840">
        <w:rPr>
          <w:bCs/>
        </w:rPr>
        <w:t>T</w:t>
      </w:r>
      <w:r w:rsidR="00687563" w:rsidRPr="00E80840">
        <w:rPr>
          <w:bCs/>
        </w:rPr>
        <w:t>he Experimental Stream Facility</w:t>
      </w:r>
      <w:r w:rsidR="0068794A">
        <w:rPr>
          <w:bCs/>
        </w:rPr>
        <w:t xml:space="preserve"> (ESF)</w:t>
      </w:r>
      <w:r w:rsidR="00687563" w:rsidRPr="00E80840">
        <w:rPr>
          <w:bCs/>
        </w:rPr>
        <w:t xml:space="preserve">, located in Milford, </w:t>
      </w:r>
      <w:r w:rsidRPr="00E80840">
        <w:rPr>
          <w:bCs/>
        </w:rPr>
        <w:t>Ohio on the East Fork Watershed.  This facility is leased</w:t>
      </w:r>
      <w:r w:rsidR="00687563" w:rsidRPr="00E80840">
        <w:rPr>
          <w:bCs/>
        </w:rPr>
        <w:t xml:space="preserve"> from Clermont County Sewer District (Water Quality Testing Laboratory)</w:t>
      </w:r>
      <w:r>
        <w:t xml:space="preserve"> and consists of laboratories and associated offices.  </w:t>
      </w:r>
    </w:p>
    <w:p w14:paraId="4ADA626C" w14:textId="77777777" w:rsidR="00E80840" w:rsidRPr="00E80840" w:rsidRDefault="00E80840" w:rsidP="00D633D3">
      <w:pPr>
        <w:pStyle w:val="Default"/>
        <w:ind w:left="360" w:hanging="360"/>
        <w:rPr>
          <w:bCs/>
        </w:rPr>
      </w:pPr>
    </w:p>
    <w:p w14:paraId="36FEA925" w14:textId="23F5D979" w:rsidR="00BB5191" w:rsidRDefault="00BB5191" w:rsidP="00D633D3">
      <w:pPr>
        <w:numPr>
          <w:ilvl w:val="0"/>
          <w:numId w:val="5"/>
        </w:numPr>
        <w:rPr>
          <w:bCs/>
        </w:rPr>
      </w:pPr>
      <w:r w:rsidRPr="00B5249D">
        <w:rPr>
          <w:bCs/>
        </w:rPr>
        <w:t xml:space="preserve">The Center Hill </w:t>
      </w:r>
      <w:r w:rsidR="00C26499">
        <w:rPr>
          <w:bCs/>
        </w:rPr>
        <w:t xml:space="preserve">Research </w:t>
      </w:r>
      <w:r w:rsidRPr="00B5249D">
        <w:rPr>
          <w:bCs/>
        </w:rPr>
        <w:t>Facility</w:t>
      </w:r>
      <w:r w:rsidR="0068794A">
        <w:rPr>
          <w:bCs/>
        </w:rPr>
        <w:t xml:space="preserve"> (CHRF)</w:t>
      </w:r>
      <w:r w:rsidRPr="00B5249D">
        <w:rPr>
          <w:bCs/>
        </w:rPr>
        <w:t xml:space="preserve"> </w:t>
      </w:r>
      <w:r w:rsidR="00E80840">
        <w:rPr>
          <w:bCs/>
        </w:rPr>
        <w:t xml:space="preserve">located in western Cincinnati on Center Hill Avenue and consists of laboratories, offices, and a bay for large scale research and development projects. </w:t>
      </w:r>
    </w:p>
    <w:p w14:paraId="62ABB719" w14:textId="77777777" w:rsidR="00D633D3" w:rsidRPr="00B5249D" w:rsidRDefault="00D633D3" w:rsidP="00D633D3">
      <w:pPr>
        <w:rPr>
          <w:bCs/>
        </w:rPr>
      </w:pPr>
    </w:p>
    <w:p w14:paraId="46983B2C" w14:textId="77777777" w:rsidR="00ED4E54" w:rsidRPr="00D633D3" w:rsidRDefault="00E80840" w:rsidP="00D633D3">
      <w:pPr>
        <w:numPr>
          <w:ilvl w:val="0"/>
          <w:numId w:val="5"/>
        </w:numPr>
        <w:rPr>
          <w:bCs/>
          <w:lang w:val="en"/>
        </w:rPr>
      </w:pPr>
      <w:r w:rsidRPr="00E80840">
        <w:rPr>
          <w:bCs/>
        </w:rPr>
        <w:t>T</w:t>
      </w:r>
      <w:r w:rsidR="009107CB" w:rsidRPr="00E80840">
        <w:rPr>
          <w:bCs/>
        </w:rPr>
        <w:t>he Kenwood W</w:t>
      </w:r>
      <w:r w:rsidR="00C27EA1" w:rsidRPr="00E80840">
        <w:rPr>
          <w:bCs/>
        </w:rPr>
        <w:t xml:space="preserve">arehouse facility </w:t>
      </w:r>
      <w:r w:rsidRPr="00E80840">
        <w:rPr>
          <w:bCs/>
        </w:rPr>
        <w:t xml:space="preserve">which </w:t>
      </w:r>
      <w:r w:rsidR="00A46A26" w:rsidRPr="00E80840">
        <w:rPr>
          <w:bCs/>
        </w:rPr>
        <w:t xml:space="preserve">supports the National </w:t>
      </w:r>
      <w:r w:rsidR="00ED4E54" w:rsidRPr="00E80840">
        <w:rPr>
          <w:lang w:val="en"/>
        </w:rPr>
        <w:t>Service Center for Env</w:t>
      </w:r>
      <w:r w:rsidR="00C27EA1" w:rsidRPr="00E80840">
        <w:rPr>
          <w:lang w:val="en"/>
        </w:rPr>
        <w:t>ironmental Publications (NSCEP)</w:t>
      </w:r>
      <w:r w:rsidRPr="00E80840">
        <w:rPr>
          <w:lang w:val="en"/>
        </w:rPr>
        <w:t xml:space="preserve"> and other facility storage.  </w:t>
      </w:r>
    </w:p>
    <w:p w14:paraId="41CD3FCA" w14:textId="77777777" w:rsidR="0068794A" w:rsidRPr="00E80840" w:rsidRDefault="0068794A" w:rsidP="00D633D3">
      <w:pPr>
        <w:rPr>
          <w:bCs/>
          <w:lang w:val="en"/>
        </w:rPr>
      </w:pPr>
      <w:bookmarkStart w:id="3" w:name="_GoBack"/>
      <w:bookmarkEnd w:id="3"/>
    </w:p>
    <w:p w14:paraId="6C62219F" w14:textId="43C0F2DC" w:rsidR="00CC5EC9" w:rsidRDefault="00CC5EC9" w:rsidP="00CC5EC9">
      <w:pPr>
        <w:numPr>
          <w:ilvl w:val="0"/>
          <w:numId w:val="5"/>
        </w:numPr>
      </w:pPr>
      <w:r w:rsidRPr="00E80840">
        <w:rPr>
          <w:bCs/>
        </w:rPr>
        <w:t>The</w:t>
      </w:r>
      <w:r w:rsidRPr="00B5249D">
        <w:rPr>
          <w:bCs/>
        </w:rPr>
        <w:t xml:space="preserve"> </w:t>
      </w:r>
      <w:r w:rsidRPr="00B5249D">
        <w:t xml:space="preserve">Future Environments Child Development Center </w:t>
      </w:r>
      <w:r>
        <w:t xml:space="preserve">(FECDC) </w:t>
      </w:r>
      <w:r w:rsidRPr="00B5249D">
        <w:t xml:space="preserve">is </w:t>
      </w:r>
      <w:r>
        <w:t>a child care center residing o</w:t>
      </w:r>
      <w:r w:rsidRPr="00B5249D">
        <w:t>n the EPA AWBERC campus. The</w:t>
      </w:r>
      <w:r>
        <w:t xml:space="preserve"> EPA owned </w:t>
      </w:r>
      <w:r w:rsidRPr="00B5249D">
        <w:t>facility</w:t>
      </w:r>
      <w:r>
        <w:t xml:space="preserve"> is operated per agreement by the non-profit corporation Future Environments, Inc.  The center </w:t>
      </w:r>
      <w:r w:rsidRPr="00B5249D">
        <w:t>provides on-site childcare for employees of the EPA</w:t>
      </w:r>
      <w:r>
        <w:t xml:space="preserve">, </w:t>
      </w:r>
      <w:r w:rsidRPr="00B5249D">
        <w:t>other federal entities</w:t>
      </w:r>
      <w:r>
        <w:t>, EPA contractors, and the community</w:t>
      </w:r>
      <w:r w:rsidRPr="00B5249D">
        <w:t xml:space="preserve">. </w:t>
      </w:r>
    </w:p>
    <w:p w14:paraId="48E871F0" w14:textId="77777777" w:rsidR="00D633D3" w:rsidRPr="00B5249D" w:rsidRDefault="00D633D3" w:rsidP="00D633D3"/>
    <w:p w14:paraId="1867E85F" w14:textId="77777777" w:rsidR="00ED4E54" w:rsidRDefault="00E65A9A" w:rsidP="00D633D3">
      <w:pPr>
        <w:numPr>
          <w:ilvl w:val="0"/>
          <w:numId w:val="5"/>
        </w:numPr>
      </w:pPr>
      <w:r w:rsidRPr="00B5249D">
        <w:t xml:space="preserve">The </w:t>
      </w:r>
      <w:r w:rsidR="00117C93" w:rsidRPr="00B5249D">
        <w:t>B</w:t>
      </w:r>
      <w:r w:rsidRPr="00B5249D">
        <w:t>oat</w:t>
      </w:r>
      <w:r w:rsidR="00117C93" w:rsidRPr="00B5249D">
        <w:t xml:space="preserve"> Warehouse</w:t>
      </w:r>
      <w:r w:rsidR="00AA5436">
        <w:t xml:space="preserve"> facility</w:t>
      </w:r>
      <w:r w:rsidR="00117C93" w:rsidRPr="00B5249D">
        <w:t xml:space="preserve"> </w:t>
      </w:r>
      <w:r w:rsidR="001D1E25">
        <w:t>is</w:t>
      </w:r>
      <w:r w:rsidR="00117C93" w:rsidRPr="00B5249D">
        <w:t xml:space="preserve"> </w:t>
      </w:r>
      <w:r w:rsidR="001D1E25" w:rsidRPr="00B5249D">
        <w:t xml:space="preserve">leased </w:t>
      </w:r>
      <w:r w:rsidR="001D1E25">
        <w:t>by the EPA, and</w:t>
      </w:r>
      <w:r w:rsidR="00117C93" w:rsidRPr="00B5249D">
        <w:t xml:space="preserve"> used </w:t>
      </w:r>
      <w:r w:rsidR="003C780F">
        <w:t>for</w:t>
      </w:r>
      <w:r w:rsidR="00117C93" w:rsidRPr="00B5249D">
        <w:t xml:space="preserve"> stor</w:t>
      </w:r>
      <w:r w:rsidR="003C780F">
        <w:t>age</w:t>
      </w:r>
      <w:r w:rsidR="00117C93" w:rsidRPr="00B5249D">
        <w:t xml:space="preserve"> and </w:t>
      </w:r>
      <w:r w:rsidR="003C780F" w:rsidRPr="00B5249D">
        <w:t>maint</w:t>
      </w:r>
      <w:r w:rsidR="003C780F">
        <w:t>enance of</w:t>
      </w:r>
      <w:r w:rsidR="00117C93" w:rsidRPr="00B5249D">
        <w:t xml:space="preserve"> </w:t>
      </w:r>
      <w:r w:rsidR="00117C93" w:rsidRPr="00B5249D">
        <w:lastRenderedPageBreak/>
        <w:t>research</w:t>
      </w:r>
      <w:r w:rsidR="00200AB8">
        <w:t xml:space="preserve"> Class A boats</w:t>
      </w:r>
      <w:r w:rsidR="00117C93" w:rsidRPr="00B5249D">
        <w:t xml:space="preserve"> and associated research-sampling equipment. </w:t>
      </w:r>
    </w:p>
    <w:p w14:paraId="654A325E" w14:textId="77777777" w:rsidR="00D633D3" w:rsidRPr="00B5249D" w:rsidRDefault="00D633D3" w:rsidP="00D633D3"/>
    <w:p w14:paraId="6A7B2047" w14:textId="2BFBCE71" w:rsidR="00EB5B15" w:rsidRPr="0007544C" w:rsidRDefault="006C1A28" w:rsidP="000F3BF3">
      <w:pPr>
        <w:numPr>
          <w:ilvl w:val="0"/>
          <w:numId w:val="5"/>
        </w:numPr>
        <w:rPr>
          <w:rFonts w:cs="Arial"/>
          <w:bCs/>
        </w:rPr>
      </w:pPr>
      <w:r w:rsidRPr="0007544C">
        <w:rPr>
          <w:rFonts w:cs="Arial"/>
          <w:bCs/>
        </w:rPr>
        <w:t>The Erlanger, K</w:t>
      </w:r>
      <w:r w:rsidR="00992DA3" w:rsidRPr="0007544C">
        <w:rPr>
          <w:rFonts w:cs="Arial"/>
          <w:bCs/>
        </w:rPr>
        <w:t>entucky</w:t>
      </w:r>
      <w:r w:rsidRPr="0007544C">
        <w:rPr>
          <w:rFonts w:cs="Arial"/>
          <w:bCs/>
        </w:rPr>
        <w:t xml:space="preserve"> </w:t>
      </w:r>
      <w:r w:rsidR="0007544C" w:rsidRPr="0007544C">
        <w:rPr>
          <w:rFonts w:cs="Arial"/>
          <w:bCs/>
        </w:rPr>
        <w:t xml:space="preserve">facility </w:t>
      </w:r>
      <w:r w:rsidRPr="0007544C">
        <w:rPr>
          <w:rFonts w:cs="Arial"/>
          <w:bCs/>
        </w:rPr>
        <w:t xml:space="preserve">is home to the </w:t>
      </w:r>
      <w:r w:rsidR="00085C1F" w:rsidRPr="0007544C">
        <w:rPr>
          <w:lang w:val="en"/>
        </w:rPr>
        <w:t xml:space="preserve">Cincinnati Environmental Protection Agency, </w:t>
      </w:r>
      <w:r w:rsidR="000F3BF3" w:rsidRPr="000F3BF3">
        <w:rPr>
          <w:lang w:val="en"/>
        </w:rPr>
        <w:t xml:space="preserve">Office of Land and Emergency Management (OLEM) </w:t>
      </w:r>
      <w:r w:rsidR="0007544C">
        <w:rPr>
          <w:rFonts w:cs="Arial"/>
          <w:bCs/>
        </w:rPr>
        <w:t xml:space="preserve">groups; </w:t>
      </w:r>
      <w:r w:rsidR="00085C1F" w:rsidRPr="0007544C">
        <w:rPr>
          <w:lang w:val="en"/>
        </w:rPr>
        <w:t>E</w:t>
      </w:r>
      <w:r w:rsidR="0007544C">
        <w:rPr>
          <w:lang w:val="en"/>
        </w:rPr>
        <w:t xml:space="preserve">nvironmental Response Team (ERT) and </w:t>
      </w:r>
      <w:r w:rsidR="000F3BF3" w:rsidRPr="000F3BF3">
        <w:rPr>
          <w:lang w:val="en"/>
        </w:rPr>
        <w:t xml:space="preserve">Chemical, Biological, Radiological, and Nuclear </w:t>
      </w:r>
      <w:r w:rsidR="0007544C">
        <w:rPr>
          <w:lang w:val="en"/>
        </w:rPr>
        <w:t>Consequence Management Advisory Division (CMAD).</w:t>
      </w:r>
    </w:p>
    <w:p w14:paraId="109245B9" w14:textId="77777777" w:rsidR="0007544C" w:rsidRDefault="0007544C" w:rsidP="00E97347">
      <w:pPr>
        <w:rPr>
          <w:rFonts w:cs="Arial"/>
          <w:bCs/>
        </w:rPr>
      </w:pPr>
    </w:p>
    <w:p w14:paraId="56897C55" w14:textId="77777777" w:rsidR="00E97347" w:rsidRPr="00E97347" w:rsidRDefault="00E97347" w:rsidP="00E97347">
      <w:pPr>
        <w:rPr>
          <w:rFonts w:cs="Arial"/>
          <w:b/>
          <w:bCs/>
          <w:u w:val="single"/>
        </w:rPr>
      </w:pPr>
      <w:r w:rsidRPr="00E97347">
        <w:rPr>
          <w:rFonts w:cs="Arial"/>
          <w:b/>
          <w:bCs/>
          <w:u w:val="single"/>
        </w:rPr>
        <w:t>Definitions</w:t>
      </w:r>
    </w:p>
    <w:p w14:paraId="7373B692" w14:textId="77777777" w:rsidR="00E97347" w:rsidRDefault="00E97347" w:rsidP="00E97347">
      <w:pPr>
        <w:rPr>
          <w:rFonts w:cs="Arial"/>
          <w:b/>
          <w:bCs/>
        </w:rPr>
      </w:pPr>
    </w:p>
    <w:p w14:paraId="392FFC3F" w14:textId="77777777" w:rsidR="00E97347" w:rsidRDefault="00E97347" w:rsidP="00E97347">
      <w:pPr>
        <w:rPr>
          <w:rFonts w:cs="Arial"/>
          <w:bCs/>
        </w:rPr>
      </w:pPr>
      <w:r>
        <w:rPr>
          <w:rFonts w:cs="Arial"/>
          <w:bCs/>
        </w:rPr>
        <w:t>N/A</w:t>
      </w:r>
    </w:p>
    <w:p w14:paraId="00ECC473" w14:textId="77777777" w:rsidR="00E97347" w:rsidRPr="00E97347" w:rsidRDefault="00E97347" w:rsidP="00E97347">
      <w:pPr>
        <w:rPr>
          <w:rFonts w:cs="Arial"/>
          <w:bCs/>
        </w:rPr>
      </w:pPr>
    </w:p>
    <w:p w14:paraId="16390ECD" w14:textId="77777777" w:rsidR="00D633D3" w:rsidRPr="00D633D3" w:rsidRDefault="00D633D3" w:rsidP="006C1A28">
      <w:pPr>
        <w:spacing w:line="264" w:lineRule="auto"/>
        <w:rPr>
          <w:rFonts w:cs="Arial"/>
          <w:b/>
          <w:bCs/>
          <w:u w:val="single"/>
        </w:rPr>
      </w:pPr>
      <w:r w:rsidRPr="00D633D3">
        <w:rPr>
          <w:rFonts w:cs="Arial"/>
          <w:b/>
          <w:bCs/>
          <w:u w:val="single"/>
        </w:rPr>
        <w:t>Approach</w:t>
      </w:r>
    </w:p>
    <w:p w14:paraId="25F98998" w14:textId="77777777" w:rsidR="00D633D3" w:rsidRPr="00B5249D" w:rsidRDefault="00D633D3" w:rsidP="006C1A28">
      <w:pPr>
        <w:spacing w:line="264" w:lineRule="auto"/>
        <w:rPr>
          <w:rFonts w:cs="Arial"/>
          <w:bCs/>
        </w:rPr>
      </w:pPr>
    </w:p>
    <w:p w14:paraId="71205742" w14:textId="47313FE0" w:rsidR="00287C4C" w:rsidRDefault="00287C4C" w:rsidP="00D633D3">
      <w:pPr>
        <w:numPr>
          <w:ilvl w:val="0"/>
          <w:numId w:val="1"/>
        </w:numPr>
        <w:tabs>
          <w:tab w:val="left" w:pos="360"/>
        </w:tabs>
        <w:ind w:left="360" w:hanging="360"/>
      </w:pPr>
      <w:r>
        <w:t xml:space="preserve">The scope of the EPA-CIN </w:t>
      </w:r>
      <w:r w:rsidR="00E97347">
        <w:t>SH</w:t>
      </w:r>
      <w:r>
        <w:t xml:space="preserve">EMS includes </w:t>
      </w:r>
      <w:proofErr w:type="gramStart"/>
      <w:r>
        <w:t>all of</w:t>
      </w:r>
      <w:proofErr w:type="gramEnd"/>
      <w:r>
        <w:t xml:space="preserve"> the facilities and equipment owned or leased by </w:t>
      </w:r>
      <w:r w:rsidR="00963A1E">
        <w:t>EPA-</w:t>
      </w:r>
      <w:r>
        <w:t>CIN at each location and the activities</w:t>
      </w:r>
      <w:r w:rsidR="00442D78">
        <w:t>, products and services</w:t>
      </w:r>
      <w:r>
        <w:t xml:space="preserve"> that occur within those facilities</w:t>
      </w:r>
      <w:r w:rsidR="00585D4A">
        <w:t>, including onsite contractor activities</w:t>
      </w:r>
      <w:r w:rsidR="003E7B3B">
        <w:t>, business travel and commuting</w:t>
      </w:r>
      <w:r>
        <w:t xml:space="preserve">. The primary onsite activities at these locations include environmental laboratory research and administrative support. </w:t>
      </w:r>
      <w:r w:rsidR="00963A1E">
        <w:t xml:space="preserve">In </w:t>
      </w:r>
      <w:r w:rsidR="00F462DD">
        <w:t>addition,</w:t>
      </w:r>
      <w:r w:rsidR="00585D4A">
        <w:t xml:space="preserve"> the scope includes </w:t>
      </w:r>
      <w:r w:rsidR="003E7B3B">
        <w:t xml:space="preserve">travel, </w:t>
      </w:r>
      <w:r w:rsidR="00585D4A">
        <w:t xml:space="preserve">research </w:t>
      </w:r>
      <w:r w:rsidR="00963A1E">
        <w:t xml:space="preserve">and other operations </w:t>
      </w:r>
      <w:r w:rsidR="003E7B3B">
        <w:t xml:space="preserve">that </w:t>
      </w:r>
      <w:r w:rsidR="00963A1E">
        <w:t xml:space="preserve">support </w:t>
      </w:r>
      <w:r>
        <w:t xml:space="preserve">activities </w:t>
      </w:r>
      <w:r w:rsidR="00585D4A">
        <w:t>at offsite field locations</w:t>
      </w:r>
      <w:r>
        <w:t xml:space="preserve"> under the </w:t>
      </w:r>
      <w:r w:rsidR="00585D4A">
        <w:t xml:space="preserve">direct </w:t>
      </w:r>
      <w:r>
        <w:t>control or influence</w:t>
      </w:r>
      <w:r w:rsidR="00F624A7">
        <w:t xml:space="preserve"> of</w:t>
      </w:r>
      <w:r>
        <w:t xml:space="preserve"> </w:t>
      </w:r>
      <w:r w:rsidR="00963A1E">
        <w:t>EPA-CIN</w:t>
      </w:r>
      <w:r w:rsidR="0095495D">
        <w:t xml:space="preserve"> </w:t>
      </w:r>
      <w:r w:rsidR="00585D4A">
        <w:t>such as sample collection</w:t>
      </w:r>
      <w:r>
        <w:t xml:space="preserve"> </w:t>
      </w:r>
      <w:r w:rsidR="007F635C">
        <w:t xml:space="preserve">and </w:t>
      </w:r>
      <w:r>
        <w:t>environmental monitoring m</w:t>
      </w:r>
      <w:r w:rsidR="007F635C">
        <w:t>obile labs</w:t>
      </w:r>
      <w:r>
        <w:t xml:space="preserve">. </w:t>
      </w:r>
    </w:p>
    <w:p w14:paraId="00C068AB" w14:textId="77777777" w:rsidR="00FD2969" w:rsidRPr="00B5249D" w:rsidRDefault="00FD2969" w:rsidP="00D43853">
      <w:pPr>
        <w:keepLines/>
        <w:widowControl/>
      </w:pPr>
    </w:p>
    <w:p w14:paraId="707C105B" w14:textId="77777777" w:rsidR="00EB5B15" w:rsidRPr="00B5249D" w:rsidRDefault="00EB5B15" w:rsidP="00D633D3">
      <w:pPr>
        <w:pStyle w:val="level1"/>
        <w:widowControl/>
        <w:numPr>
          <w:ilvl w:val="0"/>
          <w:numId w:val="1"/>
        </w:numPr>
        <w:tabs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5249D">
        <w:t xml:space="preserve">The US EPA either owns or is the sole occupant of the Andrew W. Breidenbach Environmental Research Center (AWBERC), the </w:t>
      </w:r>
      <w:r w:rsidR="003F4AC5" w:rsidRPr="00B5249D">
        <w:t>Test</w:t>
      </w:r>
      <w:r w:rsidRPr="00B5249D">
        <w:t xml:space="preserve"> and Evaluation Facility (T&amp;E), the Center Hill Research Facility (CHRF)</w:t>
      </w:r>
      <w:r w:rsidR="0060535F" w:rsidRPr="00B5249D">
        <w:t xml:space="preserve"> and the Full Containment Facility (FCF)</w:t>
      </w:r>
      <w:r w:rsidR="003F4AC5" w:rsidRPr="00B5249D">
        <w:t xml:space="preserve">. </w:t>
      </w:r>
      <w:r w:rsidRPr="00B5249D">
        <w:t xml:space="preserve">The </w:t>
      </w:r>
      <w:r w:rsidR="00F93B9F">
        <w:t>SH</w:t>
      </w:r>
      <w:r w:rsidRPr="00B5249D">
        <w:t>EMS shall be applied fully at these facilities.</w:t>
      </w:r>
    </w:p>
    <w:p w14:paraId="628C61A7" w14:textId="77777777" w:rsidR="00EB5B15" w:rsidRPr="00B5249D" w:rsidRDefault="00EB5B15" w:rsidP="00D633D3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</w:p>
    <w:p w14:paraId="3E8B2CF1" w14:textId="161FBFA7" w:rsidR="00EB5B15" w:rsidRDefault="00EB5B15" w:rsidP="00D633D3">
      <w:pPr>
        <w:pStyle w:val="level1"/>
      </w:pPr>
      <w:r w:rsidRPr="00B5249D">
        <w:t xml:space="preserve">The US EPA is not the owner or sole </w:t>
      </w:r>
      <w:r w:rsidR="004339B2" w:rsidRPr="00B5249D">
        <w:t>tenant or</w:t>
      </w:r>
      <w:r w:rsidRPr="00B5249D">
        <w:t xml:space="preserve"> has limitations in its ability to obtain certain data (e.g. wat</w:t>
      </w:r>
      <w:r w:rsidR="0007544C">
        <w:t xml:space="preserve">er consumption) </w:t>
      </w:r>
      <w:r w:rsidRPr="00B5249D">
        <w:t>in Erlanger, K</w:t>
      </w:r>
      <w:r w:rsidR="0068794A">
        <w:t>entucky facility</w:t>
      </w:r>
      <w:r w:rsidR="00467B2E" w:rsidRPr="00B5249D">
        <w:t xml:space="preserve">, the </w:t>
      </w:r>
      <w:r w:rsidR="0069041A" w:rsidRPr="00B5249D">
        <w:t>Kenwood</w:t>
      </w:r>
      <w:r w:rsidR="00A46A26" w:rsidRPr="00B5249D">
        <w:t xml:space="preserve"> Warehouse</w:t>
      </w:r>
      <w:r w:rsidR="00F23451" w:rsidRPr="00B5249D">
        <w:rPr>
          <w:bCs/>
        </w:rPr>
        <w:t xml:space="preserve">, </w:t>
      </w:r>
      <w:r w:rsidRPr="00B5249D">
        <w:t>the Experimental Stream Facility</w:t>
      </w:r>
      <w:r w:rsidR="00F23451" w:rsidRPr="00B5249D">
        <w:t xml:space="preserve">, the </w:t>
      </w:r>
      <w:r w:rsidR="00A46A26" w:rsidRPr="00B5249D">
        <w:t xml:space="preserve">Boat Warehouse </w:t>
      </w:r>
      <w:r w:rsidR="0069041A" w:rsidRPr="00B5249D">
        <w:t>facility,</w:t>
      </w:r>
      <w:r w:rsidR="00F23451" w:rsidRPr="00B5249D">
        <w:t xml:space="preserve"> </w:t>
      </w:r>
      <w:r w:rsidR="00847252" w:rsidRPr="00B5249D">
        <w:t>and the</w:t>
      </w:r>
      <w:r w:rsidR="00847252" w:rsidRPr="00B5249D">
        <w:rPr>
          <w:bCs/>
        </w:rPr>
        <w:t xml:space="preserve"> </w:t>
      </w:r>
      <w:r w:rsidR="00847252" w:rsidRPr="00B5249D">
        <w:t>Future Environment</w:t>
      </w:r>
      <w:r w:rsidR="00723CCF">
        <w:t>s Child Development Center (FECDC</w:t>
      </w:r>
      <w:r w:rsidR="00847252" w:rsidRPr="00B5249D">
        <w:t>).</w:t>
      </w:r>
      <w:r w:rsidR="00E81D35" w:rsidRPr="00B5249D">
        <w:t xml:space="preserve"> </w:t>
      </w:r>
      <w:r w:rsidRPr="00B5249D">
        <w:t xml:space="preserve">Therefore, when </w:t>
      </w:r>
      <w:r w:rsidR="0098669D" w:rsidRPr="00B5249D">
        <w:t>feasible</w:t>
      </w:r>
      <w:r w:rsidRPr="00B5249D">
        <w:t xml:space="preserve">, these facilities will be incorporated into the </w:t>
      </w:r>
      <w:r w:rsidR="00F93B9F">
        <w:t>SH</w:t>
      </w:r>
      <w:r w:rsidRPr="00B5249D">
        <w:t>EMS of EPA</w:t>
      </w:r>
      <w:r w:rsidR="00E17DBF">
        <w:t>-CIN</w:t>
      </w:r>
      <w:r w:rsidR="00D1233E">
        <w:t>.</w:t>
      </w:r>
      <w:r w:rsidR="0068794A">
        <w:t xml:space="preserve"> See Table 1</w:t>
      </w:r>
      <w:r w:rsidR="005B6A65">
        <w:t xml:space="preserve"> for Environmental Management Programs (EMP</w:t>
      </w:r>
      <w:r w:rsidR="007002A0">
        <w:t>s</w:t>
      </w:r>
      <w:r w:rsidR="005B6A65">
        <w:t>) that are applicable to the listed facilities.</w:t>
      </w:r>
      <w:r w:rsidR="00F93B9F">
        <w:t xml:space="preserve">  </w:t>
      </w:r>
      <w:r w:rsidR="00250B8B">
        <w:t>This does not exclude the use of operational controls</w:t>
      </w:r>
      <w:r w:rsidR="00196269">
        <w:t>, emergency response procedures and other SHEMS elements</w:t>
      </w:r>
      <w:r w:rsidR="009E12FA">
        <w:t xml:space="preserve"> from other EMPs if feasible</w:t>
      </w:r>
      <w:r w:rsidR="00250B8B">
        <w:t xml:space="preserve">. </w:t>
      </w:r>
      <w:r w:rsidR="00F93B9F">
        <w:t xml:space="preserve">Safety and Health Management Programs (SHMPs) </w:t>
      </w:r>
      <w:r w:rsidR="00591E8B">
        <w:t>will be applied, as hazards exist and when feasible</w:t>
      </w:r>
      <w:r w:rsidR="00F93B9F">
        <w:t>.</w:t>
      </w:r>
    </w:p>
    <w:p w14:paraId="7C47FB41" w14:textId="77777777" w:rsidR="005B6A65" w:rsidRDefault="005B6A65" w:rsidP="009901BD">
      <w:pPr>
        <w:pStyle w:val="level1"/>
        <w:numPr>
          <w:ilvl w:val="0"/>
          <w:numId w:val="0"/>
        </w:numPr>
      </w:pPr>
    </w:p>
    <w:p w14:paraId="4356432E" w14:textId="4533F23D" w:rsidR="00935BF9" w:rsidRPr="00935BF9" w:rsidRDefault="00DC6A90" w:rsidP="00DC6A90">
      <w:pPr>
        <w:pStyle w:val="level1"/>
      </w:pPr>
      <w:r w:rsidRPr="00DC6A90">
        <w:t xml:space="preserve">The scope shall be maintained as a controlled document and will be provided to interested parties by </w:t>
      </w:r>
      <w:r w:rsidR="00ED313F">
        <w:t>posting on the EPA-CIN public internet site</w:t>
      </w:r>
      <w:r w:rsidRPr="00DC6A90">
        <w:t>.</w:t>
      </w:r>
    </w:p>
    <w:p w14:paraId="70ACC194" w14:textId="2C047C75" w:rsidR="00253C86" w:rsidRDefault="00253C86" w:rsidP="005B6A65">
      <w:pPr>
        <w:pStyle w:val="level1"/>
        <w:numPr>
          <w:ilvl w:val="0"/>
          <w:numId w:val="0"/>
        </w:numPr>
        <w:ind w:left="360" w:hanging="360"/>
        <w:rPr>
          <w:b/>
        </w:rPr>
      </w:pPr>
    </w:p>
    <w:p w14:paraId="510C3B21" w14:textId="771B5D3E" w:rsidR="004339B2" w:rsidRDefault="004339B2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FD4FE72" w14:textId="77777777" w:rsidR="00DC6A90" w:rsidRDefault="00DC6A90" w:rsidP="005B6A65">
      <w:pPr>
        <w:pStyle w:val="level1"/>
        <w:numPr>
          <w:ilvl w:val="0"/>
          <w:numId w:val="0"/>
        </w:numPr>
        <w:ind w:left="360" w:hanging="360"/>
        <w:rPr>
          <w:b/>
        </w:rPr>
      </w:pPr>
    </w:p>
    <w:p w14:paraId="4F80E8FC" w14:textId="6132B092" w:rsidR="005B6A65" w:rsidRPr="008542E4" w:rsidRDefault="009901BD" w:rsidP="005B6A65">
      <w:pPr>
        <w:pStyle w:val="level1"/>
        <w:numPr>
          <w:ilvl w:val="0"/>
          <w:numId w:val="0"/>
        </w:numPr>
        <w:ind w:left="360" w:hanging="360"/>
        <w:rPr>
          <w:b/>
        </w:rPr>
      </w:pPr>
      <w:r w:rsidRPr="008542E4">
        <w:rPr>
          <w:b/>
        </w:rPr>
        <w:t>Table 1.</w:t>
      </w:r>
    </w:p>
    <w:p w14:paraId="1F76E1CB" w14:textId="77777777" w:rsidR="005B6A65" w:rsidRPr="00B5249D" w:rsidRDefault="005B6A65" w:rsidP="00633A15">
      <w:pPr>
        <w:pStyle w:val="level1"/>
        <w:numPr>
          <w:ilvl w:val="0"/>
          <w:numId w:val="0"/>
        </w:numPr>
      </w:pPr>
    </w:p>
    <w:tbl>
      <w:tblPr>
        <w:tblW w:w="4531" w:type="pct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4835"/>
      </w:tblGrid>
      <w:tr w:rsidR="00196269" w14:paraId="0E6807D0" w14:textId="48D46518" w:rsidTr="00196269"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91919"/>
            <w:hideMark/>
          </w:tcPr>
          <w:p w14:paraId="2EC0DED8" w14:textId="77777777" w:rsidR="00196269" w:rsidRPr="002E03DE" w:rsidRDefault="00196269">
            <w:pPr>
              <w:spacing w:line="280" w:lineRule="exact"/>
              <w:jc w:val="center"/>
              <w:rPr>
                <w:b/>
                <w:color w:val="FFFFFF"/>
                <w:sz w:val="22"/>
                <w:szCs w:val="22"/>
              </w:rPr>
            </w:pPr>
            <w:r w:rsidRPr="002E03DE">
              <w:rPr>
                <w:b/>
                <w:color w:val="FFFFFF"/>
                <w:sz w:val="22"/>
                <w:szCs w:val="22"/>
              </w:rPr>
              <w:t>EPA-Cincinnati Facilities</w:t>
            </w:r>
          </w:p>
        </w:tc>
        <w:tc>
          <w:tcPr>
            <w:tcW w:w="28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91919"/>
            <w:hideMark/>
          </w:tcPr>
          <w:p w14:paraId="6CFF04CC" w14:textId="56397B3D" w:rsidR="00196269" w:rsidRPr="00DC6604" w:rsidRDefault="00196269" w:rsidP="00195AA7">
            <w:pPr>
              <w:spacing w:line="280" w:lineRule="exact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2E03DE">
              <w:rPr>
                <w:b/>
                <w:color w:val="FFFFFF"/>
                <w:sz w:val="22"/>
                <w:szCs w:val="22"/>
              </w:rPr>
              <w:t>EPA-Cincinnati Environmental Management Programs (EMPs)</w:t>
            </w:r>
            <w:r w:rsidRPr="00DC6604">
              <w:rPr>
                <w:b/>
                <w:color w:val="FFFFFF"/>
                <w:sz w:val="22"/>
                <w:szCs w:val="22"/>
              </w:rPr>
              <w:t xml:space="preserve"> that are </w:t>
            </w:r>
            <w:r w:rsidRPr="00DC6604">
              <w:rPr>
                <w:b/>
                <w:bCs/>
                <w:i/>
                <w:color w:val="FFFFFF"/>
                <w:sz w:val="22"/>
                <w:szCs w:val="22"/>
              </w:rPr>
              <w:t xml:space="preserve">Applicable </w:t>
            </w:r>
          </w:p>
        </w:tc>
      </w:tr>
      <w:tr w:rsidR="00196269" w14:paraId="0750891D" w14:textId="36F4D24C" w:rsidTr="00196269"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007A39" w14:textId="4F16A14B" w:rsidR="00196269" w:rsidRPr="002E03DE" w:rsidRDefault="00196269">
            <w:pPr>
              <w:pStyle w:val="BodyText"/>
              <w:jc w:val="center"/>
              <w:rPr>
                <w:sz w:val="22"/>
                <w:szCs w:val="22"/>
              </w:rPr>
            </w:pPr>
            <w:r w:rsidRPr="002E03DE">
              <w:rPr>
                <w:sz w:val="22"/>
                <w:szCs w:val="22"/>
              </w:rPr>
              <w:t>Erlanger</w:t>
            </w:r>
            <w:r>
              <w:rPr>
                <w:sz w:val="22"/>
                <w:szCs w:val="22"/>
              </w:rPr>
              <w:t>, KY</w:t>
            </w:r>
            <w:r w:rsidRPr="002E03DE">
              <w:rPr>
                <w:sz w:val="22"/>
                <w:szCs w:val="22"/>
              </w:rPr>
              <w:t xml:space="preserve"> Facility</w:t>
            </w:r>
          </w:p>
        </w:tc>
        <w:tc>
          <w:tcPr>
            <w:tcW w:w="28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5DB75F" w14:textId="5F2840C3" w:rsidR="00196269" w:rsidRPr="002E03DE" w:rsidRDefault="00196269">
            <w:pPr>
              <w:rPr>
                <w:sz w:val="20"/>
                <w:szCs w:val="20"/>
              </w:rPr>
            </w:pPr>
            <w:r w:rsidRPr="002E03DE">
              <w:rPr>
                <w:sz w:val="20"/>
                <w:szCs w:val="20"/>
              </w:rPr>
              <w:t xml:space="preserve">Waste Minimization/Recycling/Paper Consumption </w:t>
            </w:r>
            <w:r>
              <w:rPr>
                <w:sz w:val="20"/>
                <w:szCs w:val="20"/>
              </w:rPr>
              <w:t xml:space="preserve">and </w:t>
            </w:r>
            <w:r w:rsidRPr="002E03DE">
              <w:rPr>
                <w:sz w:val="20"/>
                <w:szCs w:val="20"/>
              </w:rPr>
              <w:t>Electronic Stewardship</w:t>
            </w:r>
          </w:p>
        </w:tc>
      </w:tr>
      <w:tr w:rsidR="00196269" w14:paraId="06B1EC0F" w14:textId="1F1A9A01" w:rsidTr="00196269"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A8C998" w14:textId="77777777" w:rsidR="00196269" w:rsidRPr="002E03DE" w:rsidRDefault="00196269">
            <w:pPr>
              <w:jc w:val="center"/>
              <w:rPr>
                <w:sz w:val="22"/>
                <w:szCs w:val="22"/>
              </w:rPr>
            </w:pPr>
            <w:r w:rsidRPr="002E03DE">
              <w:rPr>
                <w:sz w:val="22"/>
                <w:szCs w:val="22"/>
              </w:rPr>
              <w:t>Future Environments Child Development Center</w:t>
            </w:r>
          </w:p>
        </w:tc>
        <w:tc>
          <w:tcPr>
            <w:tcW w:w="28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4A9E90" w14:textId="03103FD5" w:rsidR="00196269" w:rsidRPr="002E03DE" w:rsidRDefault="00196269">
            <w:pPr>
              <w:rPr>
                <w:sz w:val="20"/>
                <w:szCs w:val="20"/>
              </w:rPr>
            </w:pPr>
            <w:r w:rsidRPr="002E03DE">
              <w:rPr>
                <w:sz w:val="20"/>
                <w:szCs w:val="20"/>
              </w:rPr>
              <w:t>Water Consumption, Energy Management, Waste Minimization/Recycling/Paper Consumption</w:t>
            </w:r>
            <w:r>
              <w:rPr>
                <w:sz w:val="20"/>
                <w:szCs w:val="20"/>
              </w:rPr>
              <w:t xml:space="preserve">, </w:t>
            </w:r>
            <w:r w:rsidRPr="002E03DE">
              <w:rPr>
                <w:sz w:val="20"/>
                <w:szCs w:val="20"/>
              </w:rPr>
              <w:t xml:space="preserve">Sustainable Building and Design, and Waste Water Discharge </w:t>
            </w:r>
          </w:p>
        </w:tc>
      </w:tr>
      <w:tr w:rsidR="00196269" w14:paraId="31A1C90C" w14:textId="4E3AF66A" w:rsidTr="00196269"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B9A495" w14:textId="77777777" w:rsidR="00196269" w:rsidRPr="002E03DE" w:rsidRDefault="00196269">
            <w:pPr>
              <w:jc w:val="center"/>
              <w:rPr>
                <w:sz w:val="22"/>
                <w:szCs w:val="22"/>
              </w:rPr>
            </w:pPr>
            <w:r w:rsidRPr="002E03DE">
              <w:rPr>
                <w:sz w:val="22"/>
                <w:szCs w:val="22"/>
              </w:rPr>
              <w:t>Boat Warehouse Facility</w:t>
            </w:r>
          </w:p>
        </w:tc>
        <w:tc>
          <w:tcPr>
            <w:tcW w:w="28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EBDD9E" w14:textId="3F58890B" w:rsidR="00196269" w:rsidRPr="002E03DE" w:rsidRDefault="00196269">
            <w:pPr>
              <w:rPr>
                <w:sz w:val="20"/>
                <w:szCs w:val="20"/>
              </w:rPr>
            </w:pPr>
            <w:r w:rsidRPr="002E03DE">
              <w:rPr>
                <w:sz w:val="20"/>
                <w:szCs w:val="20"/>
              </w:rPr>
              <w:t>Waste Minimization/Recycling/Paper Consumption</w:t>
            </w:r>
            <w:r>
              <w:rPr>
                <w:sz w:val="20"/>
                <w:szCs w:val="20"/>
              </w:rPr>
              <w:t xml:space="preserve">, </w:t>
            </w:r>
            <w:r w:rsidRPr="002E03DE">
              <w:rPr>
                <w:sz w:val="20"/>
                <w:szCs w:val="20"/>
              </w:rPr>
              <w:t>Electronic Stewardship and Chemical Management</w:t>
            </w:r>
          </w:p>
        </w:tc>
      </w:tr>
      <w:tr w:rsidR="00196269" w14:paraId="21BDBF3F" w14:textId="50CFABC3" w:rsidTr="00196269"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071814" w14:textId="5C7AA08D" w:rsidR="00196269" w:rsidRPr="002E03DE" w:rsidRDefault="00196269">
            <w:pPr>
              <w:jc w:val="center"/>
              <w:rPr>
                <w:sz w:val="22"/>
                <w:szCs w:val="22"/>
              </w:rPr>
            </w:pPr>
            <w:r w:rsidRPr="002E03DE">
              <w:rPr>
                <w:sz w:val="22"/>
                <w:szCs w:val="22"/>
                <w:lang w:val="en"/>
              </w:rPr>
              <w:t>Warehouse, Kenwood, OH</w:t>
            </w:r>
          </w:p>
        </w:tc>
        <w:tc>
          <w:tcPr>
            <w:tcW w:w="28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33728A" w14:textId="1872E635" w:rsidR="00196269" w:rsidRPr="002E03DE" w:rsidRDefault="00196269">
            <w:pPr>
              <w:rPr>
                <w:sz w:val="20"/>
                <w:szCs w:val="20"/>
              </w:rPr>
            </w:pPr>
            <w:r w:rsidRPr="002E03DE">
              <w:rPr>
                <w:sz w:val="20"/>
                <w:szCs w:val="20"/>
              </w:rPr>
              <w:t>Waste Minimizat</w:t>
            </w:r>
            <w:r>
              <w:rPr>
                <w:sz w:val="20"/>
                <w:szCs w:val="20"/>
              </w:rPr>
              <w:t>ion/Recycling/Paper Consumption</w:t>
            </w:r>
            <w:r w:rsidRPr="002E03DE">
              <w:rPr>
                <w:sz w:val="20"/>
                <w:szCs w:val="20"/>
              </w:rPr>
              <w:t>, Electronic Stewardship, Energy Management</w:t>
            </w:r>
          </w:p>
        </w:tc>
      </w:tr>
      <w:tr w:rsidR="00196269" w14:paraId="47586431" w14:textId="12142A20" w:rsidTr="00196269"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5EA6B0" w14:textId="64933038" w:rsidR="00196269" w:rsidRPr="002E03DE" w:rsidRDefault="00196269">
            <w:pPr>
              <w:jc w:val="center"/>
              <w:rPr>
                <w:bCs/>
                <w:sz w:val="22"/>
                <w:szCs w:val="22"/>
              </w:rPr>
            </w:pPr>
            <w:r w:rsidRPr="002E03DE">
              <w:rPr>
                <w:sz w:val="22"/>
                <w:szCs w:val="22"/>
              </w:rPr>
              <w:t>Experimental Stream Facility</w:t>
            </w:r>
            <w:r>
              <w:rPr>
                <w:sz w:val="22"/>
                <w:szCs w:val="22"/>
              </w:rPr>
              <w:t>, Milford, OH</w:t>
            </w:r>
          </w:p>
        </w:tc>
        <w:tc>
          <w:tcPr>
            <w:tcW w:w="28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2D5666" w14:textId="3DED19D5" w:rsidR="00196269" w:rsidRPr="002E03DE" w:rsidRDefault="00196269">
            <w:pPr>
              <w:rPr>
                <w:sz w:val="20"/>
                <w:szCs w:val="20"/>
              </w:rPr>
            </w:pPr>
            <w:r w:rsidRPr="002E03DE">
              <w:rPr>
                <w:sz w:val="20"/>
                <w:szCs w:val="20"/>
              </w:rPr>
              <w:t>Waste Minimization/Recycling/Paper Consumption</w:t>
            </w:r>
            <w:r>
              <w:rPr>
                <w:sz w:val="20"/>
                <w:szCs w:val="20"/>
              </w:rPr>
              <w:t xml:space="preserve">, Chemical Management, Radioactive Materials Management, </w:t>
            </w:r>
            <w:r w:rsidRPr="002E03DE">
              <w:rPr>
                <w:sz w:val="20"/>
                <w:szCs w:val="20"/>
              </w:rPr>
              <w:t>Electronic Stewardship and Waste Water Discharge</w:t>
            </w:r>
          </w:p>
        </w:tc>
      </w:tr>
    </w:tbl>
    <w:p w14:paraId="25087D2D" w14:textId="77777777" w:rsidR="00FD2969" w:rsidRPr="00F0761A" w:rsidRDefault="00FD2969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</w:pPr>
    </w:p>
    <w:p w14:paraId="51B6E4DD" w14:textId="77777777" w:rsidR="00FD2969" w:rsidRPr="00F0761A" w:rsidRDefault="00FD2969">
      <w:pPr>
        <w:pStyle w:val="Heading7"/>
        <w:keepNext/>
        <w:keepLines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sz w:val="24"/>
          <w:szCs w:val="24"/>
        </w:rPr>
      </w:pPr>
      <w:bookmarkStart w:id="4" w:name="a_Toc494875338"/>
      <w:r w:rsidRPr="00F0761A">
        <w:rPr>
          <w:sz w:val="24"/>
          <w:szCs w:val="24"/>
        </w:rPr>
        <w:t>Records</w:t>
      </w:r>
      <w:bookmarkEnd w:id="4"/>
    </w:p>
    <w:p w14:paraId="7076D0FE" w14:textId="77777777" w:rsidR="00FD2969" w:rsidRPr="00F0761A" w:rsidRDefault="00FD2969">
      <w:pPr>
        <w:keepLines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b/>
          <w:bCs/>
        </w:rPr>
      </w:pPr>
    </w:p>
    <w:p w14:paraId="438F54F8" w14:textId="3398475D" w:rsidR="00C0752A" w:rsidRDefault="00EB5B15" w:rsidP="003316DA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</w:tabs>
        <w:ind w:left="360" w:hanging="360"/>
      </w:pPr>
      <w:r>
        <w:t>None</w:t>
      </w:r>
    </w:p>
    <w:p w14:paraId="7F03F094" w14:textId="77777777" w:rsidR="00FC4C46" w:rsidRDefault="00FC4C46" w:rsidP="003316DA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</w:tabs>
        <w:ind w:left="360" w:hanging="360"/>
      </w:pPr>
    </w:p>
    <w:p w14:paraId="6CBB7546" w14:textId="77777777" w:rsidR="009C3378" w:rsidRPr="009C3378" w:rsidRDefault="009C3378" w:rsidP="009C3378">
      <w:pPr>
        <w:pStyle w:val="Heading7"/>
        <w:rPr>
          <w:sz w:val="24"/>
        </w:rPr>
      </w:pPr>
      <w:r w:rsidRPr="009C3378">
        <w:rPr>
          <w:sz w:val="24"/>
        </w:rPr>
        <w:t>Revision History</w:t>
      </w:r>
    </w:p>
    <w:p w14:paraId="6E8EEDB2" w14:textId="77777777" w:rsidR="009C3378" w:rsidRDefault="009C3378" w:rsidP="009C33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6613"/>
        <w:gridCol w:w="1310"/>
      </w:tblGrid>
      <w:tr w:rsidR="009C3378" w14:paraId="585CD787" w14:textId="77777777" w:rsidTr="005304F2">
        <w:trPr>
          <w:trHeight w:val="375"/>
        </w:trPr>
        <w:tc>
          <w:tcPr>
            <w:tcW w:w="1304" w:type="dxa"/>
            <w:tcBorders>
              <w:bottom w:val="double" w:sz="4" w:space="0" w:color="auto"/>
            </w:tcBorders>
          </w:tcPr>
          <w:p w14:paraId="7C41BBD3" w14:textId="77777777" w:rsidR="009C3378" w:rsidRDefault="009C3378" w:rsidP="009C33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Revision Number</w:t>
            </w:r>
          </w:p>
        </w:tc>
        <w:tc>
          <w:tcPr>
            <w:tcW w:w="6613" w:type="dxa"/>
            <w:tcBorders>
              <w:bottom w:val="double" w:sz="4" w:space="0" w:color="auto"/>
            </w:tcBorders>
            <w:vAlign w:val="center"/>
          </w:tcPr>
          <w:p w14:paraId="00CF78BB" w14:textId="77777777" w:rsidR="009C3378" w:rsidRDefault="009C3378" w:rsidP="009C33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</w:pPr>
            <w:r>
              <w:t>Description</w:t>
            </w: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325740C7" w14:textId="77777777" w:rsidR="009C3378" w:rsidRDefault="009C3378" w:rsidP="009C33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</w:pPr>
            <w:r>
              <w:t>Date</w:t>
            </w:r>
          </w:p>
        </w:tc>
      </w:tr>
      <w:tr w:rsidR="00DF1B8F" w14:paraId="3F1675CB" w14:textId="77777777" w:rsidTr="005304F2">
        <w:trPr>
          <w:trHeight w:val="375"/>
        </w:trPr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</w:tcPr>
          <w:p w14:paraId="7CC53516" w14:textId="588C614D" w:rsidR="00DF1B8F" w:rsidRDefault="004A6B54" w:rsidP="00DF1B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0</w:t>
            </w:r>
          </w:p>
        </w:tc>
        <w:tc>
          <w:tcPr>
            <w:tcW w:w="6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9289D3" w14:textId="676E2E77" w:rsidR="00DF1B8F" w:rsidRDefault="00DF1B8F" w:rsidP="00D17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Initial – Integrated the Environmental Management System</w:t>
            </w:r>
            <w:r w:rsidR="00D179CA">
              <w:t xml:space="preserve"> Procedure EMS-EPACIN-SCO-01 </w:t>
            </w:r>
            <w:r>
              <w:t>and Safety and Health Management System</w:t>
            </w:r>
            <w:r w:rsidR="00D179CA">
              <w:t xml:space="preserve"> Procedure SHMS-EPACIN-SCO-01</w:t>
            </w:r>
            <w:r>
              <w:t>.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BE2ECD" w14:textId="5C2D9500" w:rsidR="00DF1B8F" w:rsidRDefault="00DF1B8F" w:rsidP="00DF1B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10/1/2016</w:t>
            </w:r>
          </w:p>
        </w:tc>
      </w:tr>
      <w:tr w:rsidR="00F66123" w14:paraId="64CCE61E" w14:textId="77777777" w:rsidTr="005304F2">
        <w:trPr>
          <w:trHeight w:val="375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7F188DD" w14:textId="74FD38C9" w:rsidR="00F66123" w:rsidRDefault="00770467" w:rsidP="00DF1B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1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C3B09" w14:textId="150036B6" w:rsidR="00F66123" w:rsidRDefault="00511DF5" w:rsidP="00D17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Updated last bullet in scope with correct organization names, added line 4 to approach and</w:t>
            </w:r>
            <w:r w:rsidR="0068794A">
              <w:t xml:space="preserve"> updated the titles of EMPs in T</w:t>
            </w:r>
            <w:r>
              <w:t>able1.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19D50" w14:textId="11FA4C05" w:rsidR="00F66123" w:rsidRDefault="00146151" w:rsidP="00DF1B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8/</w:t>
            </w:r>
            <w:r w:rsidR="004A6B54">
              <w:t>14</w:t>
            </w:r>
            <w:r w:rsidR="00511DF5">
              <w:t>/2017</w:t>
            </w:r>
          </w:p>
        </w:tc>
      </w:tr>
      <w:tr w:rsidR="00F462DD" w14:paraId="594EEC6C" w14:textId="77777777" w:rsidTr="005304F2">
        <w:trPr>
          <w:trHeight w:val="375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39D7DA8" w14:textId="2A86160C" w:rsidR="00F462DD" w:rsidRDefault="00F462DD" w:rsidP="00DF1B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2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A5DBE" w14:textId="0C3C5E14" w:rsidR="00F462DD" w:rsidRDefault="00F462DD" w:rsidP="00D17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The administrative personnel at the Norwood, OH office w</w:t>
            </w:r>
            <w:r w:rsidR="004F11D5">
              <w:t>as</w:t>
            </w:r>
            <w:r>
              <w:t xml:space="preserve"> moved to AWBERC</w:t>
            </w:r>
            <w:r w:rsidR="008A7652">
              <w:t xml:space="preserve"> and updated line 3 with OFI from external audit</w:t>
            </w:r>
            <w:r w:rsidR="004339B2">
              <w:t>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AEEFB" w14:textId="1E5D08BC" w:rsidR="00F462DD" w:rsidRDefault="00C90A2F" w:rsidP="00DF1B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t>3/8/2019</w:t>
            </w:r>
          </w:p>
        </w:tc>
      </w:tr>
    </w:tbl>
    <w:p w14:paraId="07CF75DB" w14:textId="77777777" w:rsidR="009C3378" w:rsidRPr="00F0761A" w:rsidRDefault="009C3378" w:rsidP="00A368EA">
      <w:pPr>
        <w:widowControl/>
        <w:tabs>
          <w:tab w:val="left" w:pos="1440"/>
        </w:tabs>
      </w:pPr>
    </w:p>
    <w:sectPr w:rsidR="009C3378" w:rsidRPr="00F0761A" w:rsidSect="00FD2969">
      <w:headerReference w:type="default" r:id="rId8"/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0FFE" w14:textId="77777777" w:rsidR="00D92CDB" w:rsidRDefault="00D92CDB">
      <w:r>
        <w:separator/>
      </w:r>
    </w:p>
  </w:endnote>
  <w:endnote w:type="continuationSeparator" w:id="0">
    <w:p w14:paraId="111A4617" w14:textId="77777777" w:rsidR="00D92CDB" w:rsidRDefault="00D9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4C83" w14:textId="77777777" w:rsidR="000C37C2" w:rsidRPr="00B571E1" w:rsidRDefault="000C37C2" w:rsidP="000C37C2">
    <w:pPr>
      <w:pStyle w:val="Footer"/>
      <w:pBdr>
        <w:top w:val="single" w:sz="6" w:space="0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right" w:pos="9360"/>
      </w:tabs>
      <w:jc w:val="center"/>
      <w:rPr>
        <w:sz w:val="20"/>
        <w:szCs w:val="20"/>
      </w:rPr>
    </w:pPr>
    <w:r w:rsidRPr="00B571E1">
      <w:rPr>
        <w:sz w:val="20"/>
        <w:szCs w:val="20"/>
      </w:rPr>
      <w:t>Printed copies of this document are uncontrolled. All users are responsible for confirming version status against the electronic version in the document control system.</w:t>
    </w:r>
  </w:p>
  <w:p w14:paraId="71B81986" w14:textId="363A7C59" w:rsidR="000C37C2" w:rsidRPr="000C37C2" w:rsidRDefault="000C37C2" w:rsidP="000C37C2">
    <w:pPr>
      <w:rPr>
        <w:rFonts w:ascii="Baskerville Old Face" w:hAnsi="Baskerville Old Face" w:cs="Baskerville Old Face"/>
      </w:rPr>
    </w:pPr>
    <w:r w:rsidRPr="00B571E1">
      <w:rPr>
        <w:sz w:val="20"/>
        <w:szCs w:val="20"/>
      </w:rPr>
      <w:t>Revised:</w:t>
    </w:r>
    <w:r w:rsidR="00AC6F75">
      <w:rPr>
        <w:sz w:val="20"/>
        <w:szCs w:val="20"/>
      </w:rPr>
      <w:t xml:space="preserve"> </w:t>
    </w:r>
    <w:r w:rsidR="00C90A2F">
      <w:rPr>
        <w:sz w:val="20"/>
        <w:szCs w:val="20"/>
      </w:rPr>
      <w:t>3</w:t>
    </w:r>
    <w:r w:rsidR="005B4960">
      <w:rPr>
        <w:sz w:val="20"/>
        <w:szCs w:val="20"/>
      </w:rPr>
      <w:t>/</w:t>
    </w:r>
    <w:r w:rsidR="00C90A2F">
      <w:rPr>
        <w:sz w:val="20"/>
        <w:szCs w:val="20"/>
      </w:rPr>
      <w:t>8</w:t>
    </w:r>
    <w:r w:rsidR="00585D4A">
      <w:rPr>
        <w:sz w:val="20"/>
        <w:szCs w:val="20"/>
      </w:rPr>
      <w:t>/201</w:t>
    </w:r>
    <w:r w:rsidR="00A37B05">
      <w:rPr>
        <w:sz w:val="20"/>
        <w:szCs w:val="20"/>
      </w:rPr>
      <w:t>9</w:t>
    </w:r>
    <w:r w:rsidRPr="00B571E1">
      <w:rPr>
        <w:i/>
        <w:sz w:val="20"/>
        <w:szCs w:val="20"/>
      </w:rPr>
      <w:tab/>
    </w:r>
    <w:r w:rsidRPr="00B571E1">
      <w:rPr>
        <w:i/>
        <w:sz w:val="20"/>
        <w:szCs w:val="20"/>
      </w:rPr>
      <w:tab/>
    </w:r>
    <w:r w:rsidRPr="00B571E1">
      <w:rPr>
        <w:i/>
        <w:sz w:val="20"/>
        <w:szCs w:val="20"/>
      </w:rPr>
      <w:tab/>
    </w:r>
    <w:r w:rsidRPr="00B571E1">
      <w:rPr>
        <w:i/>
        <w:sz w:val="20"/>
        <w:szCs w:val="20"/>
      </w:rPr>
      <w:tab/>
    </w:r>
    <w:r w:rsidRPr="00B571E1">
      <w:rPr>
        <w:i/>
        <w:sz w:val="20"/>
        <w:szCs w:val="20"/>
      </w:rPr>
      <w:tab/>
    </w:r>
    <w:r w:rsidRPr="00B571E1">
      <w:rPr>
        <w:i/>
        <w:sz w:val="20"/>
        <w:szCs w:val="20"/>
      </w:rPr>
      <w:tab/>
    </w:r>
    <w:r w:rsidRPr="00B571E1">
      <w:rPr>
        <w:i/>
        <w:sz w:val="20"/>
        <w:szCs w:val="20"/>
      </w:rPr>
      <w:tab/>
    </w:r>
    <w:r w:rsidR="00D43853">
      <w:rPr>
        <w:i/>
        <w:sz w:val="20"/>
        <w:szCs w:val="20"/>
      </w:rPr>
      <w:tab/>
    </w:r>
    <w:r w:rsidR="00D43853">
      <w:rPr>
        <w:i/>
        <w:sz w:val="20"/>
        <w:szCs w:val="20"/>
      </w:rPr>
      <w:tab/>
    </w:r>
    <w:r w:rsidRPr="00B571E1">
      <w:rPr>
        <w:sz w:val="20"/>
        <w:szCs w:val="20"/>
      </w:rPr>
      <w:t>Page</w:t>
    </w:r>
    <w:r w:rsidRPr="00B571E1">
      <w:rPr>
        <w:sz w:val="20"/>
        <w:szCs w:val="20"/>
      </w:rPr>
      <w:sym w:font="Symbol" w:char="F020"/>
    </w:r>
    <w:r w:rsidRPr="00B571E1">
      <w:rPr>
        <w:sz w:val="20"/>
        <w:szCs w:val="20"/>
      </w:rPr>
      <w:fldChar w:fldCharType="begin"/>
    </w:r>
    <w:r w:rsidRPr="00B571E1">
      <w:rPr>
        <w:sz w:val="20"/>
        <w:szCs w:val="20"/>
      </w:rPr>
      <w:instrText xml:space="preserve">PAGE </w:instrText>
    </w:r>
    <w:r w:rsidRPr="00B571E1">
      <w:rPr>
        <w:sz w:val="20"/>
        <w:szCs w:val="20"/>
      </w:rPr>
      <w:fldChar w:fldCharType="separate"/>
    </w:r>
    <w:r w:rsidR="0034300C">
      <w:rPr>
        <w:noProof/>
        <w:sz w:val="20"/>
        <w:szCs w:val="20"/>
      </w:rPr>
      <w:t>3</w:t>
    </w:r>
    <w:r w:rsidRPr="00B571E1">
      <w:rPr>
        <w:sz w:val="20"/>
        <w:szCs w:val="20"/>
      </w:rPr>
      <w:fldChar w:fldCharType="end"/>
    </w:r>
    <w:r w:rsidRPr="00B571E1">
      <w:rPr>
        <w:sz w:val="20"/>
        <w:szCs w:val="20"/>
      </w:rPr>
      <w:sym w:font="Symbol" w:char="F020"/>
    </w:r>
    <w:r w:rsidRPr="00B571E1">
      <w:rPr>
        <w:sz w:val="20"/>
        <w:szCs w:val="20"/>
      </w:rPr>
      <w:sym w:font="Symbol" w:char="F06F"/>
    </w:r>
    <w:r w:rsidRPr="00B571E1">
      <w:rPr>
        <w:sz w:val="20"/>
        <w:szCs w:val="20"/>
      </w:rPr>
      <w:t>f</w:t>
    </w:r>
    <w:r w:rsidRPr="00B571E1">
      <w:rPr>
        <w:sz w:val="20"/>
        <w:szCs w:val="20"/>
      </w:rPr>
      <w:sym w:font="Symbol" w:char="F020"/>
    </w:r>
    <w:r w:rsidRPr="00B571E1">
      <w:rPr>
        <w:sz w:val="20"/>
        <w:szCs w:val="20"/>
      </w:rPr>
      <w:fldChar w:fldCharType="begin"/>
    </w:r>
    <w:r w:rsidRPr="00B571E1">
      <w:rPr>
        <w:sz w:val="20"/>
        <w:szCs w:val="20"/>
      </w:rPr>
      <w:instrText xml:space="preserve">NUMPAGES </w:instrText>
    </w:r>
    <w:r w:rsidRPr="00B571E1">
      <w:rPr>
        <w:sz w:val="20"/>
        <w:szCs w:val="20"/>
      </w:rPr>
      <w:fldChar w:fldCharType="separate"/>
    </w:r>
    <w:r w:rsidR="0034300C">
      <w:rPr>
        <w:noProof/>
        <w:sz w:val="20"/>
        <w:szCs w:val="20"/>
      </w:rPr>
      <w:t>3</w:t>
    </w:r>
    <w:r w:rsidRPr="00B571E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7B0A" w14:textId="77777777" w:rsidR="00D92CDB" w:rsidRDefault="00D92CDB">
      <w:r>
        <w:separator/>
      </w:r>
    </w:p>
  </w:footnote>
  <w:footnote w:type="continuationSeparator" w:id="0">
    <w:p w14:paraId="37DF9A56" w14:textId="77777777" w:rsidR="00D92CDB" w:rsidRDefault="00D9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F790" w14:textId="4E10D72B" w:rsidR="003D49C1" w:rsidRPr="00DB5C7A" w:rsidRDefault="003D49C1">
    <w:pPr>
      <w:pStyle w:val="Header"/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FFFFFF"/>
      </w:pBdr>
      <w:rPr>
        <w:rFonts w:ascii="Baskerville Old Face" w:hAnsi="Baskerville Old Face" w:cs="Baskerville Old Face"/>
        <w:b/>
        <w:bCs/>
        <w:i/>
        <w:iCs/>
        <w:sz w:val="18"/>
        <w:szCs w:val="18"/>
      </w:rPr>
    </w:pPr>
    <w:r w:rsidRPr="005F5EA0">
      <w:rPr>
        <w:rFonts w:ascii="Baskerville Old Face" w:hAnsi="Baskerville Old Face" w:cs="Baskerville Old Face"/>
        <w:sz w:val="20"/>
        <w:szCs w:val="20"/>
      </w:rPr>
      <w:t xml:space="preserve">Document Control Number: </w:t>
    </w:r>
    <w:r w:rsidR="0065557F">
      <w:rPr>
        <w:rFonts w:ascii="Baskerville Old Face" w:hAnsi="Baskerville Old Face" w:cs="Baskerville Old Face"/>
        <w:sz w:val="20"/>
        <w:szCs w:val="20"/>
      </w:rPr>
      <w:t>SH</w:t>
    </w:r>
    <w:r w:rsidRPr="005F5EA0">
      <w:rPr>
        <w:rFonts w:ascii="Baskerville Old Face" w:hAnsi="Baskerville Old Face" w:cs="Baskerville Old Face"/>
        <w:sz w:val="20"/>
        <w:szCs w:val="20"/>
      </w:rPr>
      <w:t>EMS-EPACIN--SCO-01</w:t>
    </w:r>
    <w:r w:rsidRPr="005F5EA0">
      <w:rPr>
        <w:rFonts w:ascii="Baskerville Old Face" w:hAnsi="Baskerville Old Face" w:cs="Baskerville Old Face"/>
        <w:sz w:val="20"/>
        <w:szCs w:val="20"/>
      </w:rPr>
      <w:tab/>
      <w:t xml:space="preserve">Revision </w:t>
    </w:r>
    <w:r w:rsidR="00187C9E">
      <w:rPr>
        <w:rFonts w:ascii="Baskerville Old Face" w:hAnsi="Baskerville Old Face" w:cs="Baskerville Old Face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AEC25E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0FC52E5C"/>
    <w:multiLevelType w:val="hybridMultilevel"/>
    <w:tmpl w:val="7A08F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D5764"/>
    <w:multiLevelType w:val="hybridMultilevel"/>
    <w:tmpl w:val="AEBE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4222F"/>
    <w:multiLevelType w:val="hybridMultilevel"/>
    <w:tmpl w:val="5AE6923E"/>
    <w:lvl w:ilvl="0" w:tplc="3A4AB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69"/>
    <w:rsid w:val="000106EB"/>
    <w:rsid w:val="00041A25"/>
    <w:rsid w:val="00050EEC"/>
    <w:rsid w:val="00056C12"/>
    <w:rsid w:val="00061CD4"/>
    <w:rsid w:val="00065026"/>
    <w:rsid w:val="0006533C"/>
    <w:rsid w:val="000655B1"/>
    <w:rsid w:val="0007544C"/>
    <w:rsid w:val="00085C1F"/>
    <w:rsid w:val="000A02AB"/>
    <w:rsid w:val="000A22E3"/>
    <w:rsid w:val="000A468A"/>
    <w:rsid w:val="000B2F32"/>
    <w:rsid w:val="000B3348"/>
    <w:rsid w:val="000B382F"/>
    <w:rsid w:val="000C37C2"/>
    <w:rsid w:val="000D678F"/>
    <w:rsid w:val="000F3BF3"/>
    <w:rsid w:val="00117C93"/>
    <w:rsid w:val="00120FAB"/>
    <w:rsid w:val="001245C8"/>
    <w:rsid w:val="001342A3"/>
    <w:rsid w:val="00140196"/>
    <w:rsid w:val="00146151"/>
    <w:rsid w:val="0015070A"/>
    <w:rsid w:val="00153DF1"/>
    <w:rsid w:val="0017337B"/>
    <w:rsid w:val="00177090"/>
    <w:rsid w:val="00187C9E"/>
    <w:rsid w:val="00195AA7"/>
    <w:rsid w:val="00196269"/>
    <w:rsid w:val="001A007E"/>
    <w:rsid w:val="001A2BFB"/>
    <w:rsid w:val="001B7A1D"/>
    <w:rsid w:val="001C6CFD"/>
    <w:rsid w:val="001D19F5"/>
    <w:rsid w:val="001D1E25"/>
    <w:rsid w:val="001D6314"/>
    <w:rsid w:val="00200AB8"/>
    <w:rsid w:val="0022518B"/>
    <w:rsid w:val="002253B1"/>
    <w:rsid w:val="00235231"/>
    <w:rsid w:val="00236A25"/>
    <w:rsid w:val="00237D87"/>
    <w:rsid w:val="00250B8B"/>
    <w:rsid w:val="00253C86"/>
    <w:rsid w:val="0026219B"/>
    <w:rsid w:val="002753B7"/>
    <w:rsid w:val="002801CD"/>
    <w:rsid w:val="0028682F"/>
    <w:rsid w:val="00287C4C"/>
    <w:rsid w:val="00291F49"/>
    <w:rsid w:val="002A77FF"/>
    <w:rsid w:val="002C3716"/>
    <w:rsid w:val="002D22BD"/>
    <w:rsid w:val="002D5BC4"/>
    <w:rsid w:val="002E03DE"/>
    <w:rsid w:val="002E473C"/>
    <w:rsid w:val="002E7776"/>
    <w:rsid w:val="003316DA"/>
    <w:rsid w:val="0034300C"/>
    <w:rsid w:val="003464FD"/>
    <w:rsid w:val="00350971"/>
    <w:rsid w:val="00351F90"/>
    <w:rsid w:val="00372E13"/>
    <w:rsid w:val="00382FE6"/>
    <w:rsid w:val="00386E69"/>
    <w:rsid w:val="003B240E"/>
    <w:rsid w:val="003B31A6"/>
    <w:rsid w:val="003B3FFF"/>
    <w:rsid w:val="003B43FE"/>
    <w:rsid w:val="003B49E4"/>
    <w:rsid w:val="003B7838"/>
    <w:rsid w:val="003C1B4A"/>
    <w:rsid w:val="003C5349"/>
    <w:rsid w:val="003C780F"/>
    <w:rsid w:val="003C794D"/>
    <w:rsid w:val="003D49C1"/>
    <w:rsid w:val="003E4514"/>
    <w:rsid w:val="003E7383"/>
    <w:rsid w:val="003E7B3B"/>
    <w:rsid w:val="003F4AC5"/>
    <w:rsid w:val="003F7B9B"/>
    <w:rsid w:val="00404AD4"/>
    <w:rsid w:val="00404F66"/>
    <w:rsid w:val="004071F4"/>
    <w:rsid w:val="004151D7"/>
    <w:rsid w:val="00421180"/>
    <w:rsid w:val="00431053"/>
    <w:rsid w:val="00431C48"/>
    <w:rsid w:val="004337EA"/>
    <w:rsid w:val="004339A5"/>
    <w:rsid w:val="004339B2"/>
    <w:rsid w:val="00442D78"/>
    <w:rsid w:val="004451C6"/>
    <w:rsid w:val="00452F79"/>
    <w:rsid w:val="00460577"/>
    <w:rsid w:val="0046760A"/>
    <w:rsid w:val="00467B2E"/>
    <w:rsid w:val="004846F2"/>
    <w:rsid w:val="00490A83"/>
    <w:rsid w:val="00491941"/>
    <w:rsid w:val="004A6B54"/>
    <w:rsid w:val="004C0241"/>
    <w:rsid w:val="004C12A2"/>
    <w:rsid w:val="004C68D9"/>
    <w:rsid w:val="004E1A55"/>
    <w:rsid w:val="004E5F30"/>
    <w:rsid w:val="004E7D16"/>
    <w:rsid w:val="004F11D5"/>
    <w:rsid w:val="00501CCD"/>
    <w:rsid w:val="00502BF3"/>
    <w:rsid w:val="00511DF5"/>
    <w:rsid w:val="005304F2"/>
    <w:rsid w:val="00530BC4"/>
    <w:rsid w:val="00532591"/>
    <w:rsid w:val="00533E60"/>
    <w:rsid w:val="00541073"/>
    <w:rsid w:val="00541F65"/>
    <w:rsid w:val="00546402"/>
    <w:rsid w:val="005524D2"/>
    <w:rsid w:val="005622F5"/>
    <w:rsid w:val="0057051C"/>
    <w:rsid w:val="00582043"/>
    <w:rsid w:val="00585D4A"/>
    <w:rsid w:val="005915A9"/>
    <w:rsid w:val="00591E8B"/>
    <w:rsid w:val="00593398"/>
    <w:rsid w:val="00593BE5"/>
    <w:rsid w:val="00594D2B"/>
    <w:rsid w:val="005A0341"/>
    <w:rsid w:val="005A1797"/>
    <w:rsid w:val="005A6E78"/>
    <w:rsid w:val="005A6F7C"/>
    <w:rsid w:val="005B36FC"/>
    <w:rsid w:val="005B39DE"/>
    <w:rsid w:val="005B4960"/>
    <w:rsid w:val="005B65C6"/>
    <w:rsid w:val="005B6A65"/>
    <w:rsid w:val="005C6A14"/>
    <w:rsid w:val="005E5614"/>
    <w:rsid w:val="005E5F99"/>
    <w:rsid w:val="005F5EA0"/>
    <w:rsid w:val="00602EFC"/>
    <w:rsid w:val="0060535F"/>
    <w:rsid w:val="0060645C"/>
    <w:rsid w:val="006073CB"/>
    <w:rsid w:val="0062168E"/>
    <w:rsid w:val="00624C62"/>
    <w:rsid w:val="00632D86"/>
    <w:rsid w:val="00633A15"/>
    <w:rsid w:val="00633CB5"/>
    <w:rsid w:val="00634273"/>
    <w:rsid w:val="00641823"/>
    <w:rsid w:val="0064774C"/>
    <w:rsid w:val="0065557F"/>
    <w:rsid w:val="006564EE"/>
    <w:rsid w:val="00657F30"/>
    <w:rsid w:val="00681B7F"/>
    <w:rsid w:val="00687563"/>
    <w:rsid w:val="0068794A"/>
    <w:rsid w:val="0069041A"/>
    <w:rsid w:val="00697B9C"/>
    <w:rsid w:val="006A37B2"/>
    <w:rsid w:val="006A7CC8"/>
    <w:rsid w:val="006C1A28"/>
    <w:rsid w:val="006D584A"/>
    <w:rsid w:val="006D6522"/>
    <w:rsid w:val="006E21E0"/>
    <w:rsid w:val="006F46F4"/>
    <w:rsid w:val="007002A0"/>
    <w:rsid w:val="00713356"/>
    <w:rsid w:val="00716F2D"/>
    <w:rsid w:val="00723CCF"/>
    <w:rsid w:val="00727CAB"/>
    <w:rsid w:val="007504A6"/>
    <w:rsid w:val="007540D7"/>
    <w:rsid w:val="00766AD0"/>
    <w:rsid w:val="00770467"/>
    <w:rsid w:val="0077657E"/>
    <w:rsid w:val="00777CBC"/>
    <w:rsid w:val="00787274"/>
    <w:rsid w:val="007A1C17"/>
    <w:rsid w:val="007A7CF9"/>
    <w:rsid w:val="007B23FA"/>
    <w:rsid w:val="007B38F7"/>
    <w:rsid w:val="007C6426"/>
    <w:rsid w:val="007D4624"/>
    <w:rsid w:val="007E71D6"/>
    <w:rsid w:val="007F3283"/>
    <w:rsid w:val="007F635C"/>
    <w:rsid w:val="00810C2C"/>
    <w:rsid w:val="008165EC"/>
    <w:rsid w:val="008427BF"/>
    <w:rsid w:val="00847252"/>
    <w:rsid w:val="008542E4"/>
    <w:rsid w:val="00856AEF"/>
    <w:rsid w:val="008570B1"/>
    <w:rsid w:val="00863CF2"/>
    <w:rsid w:val="0086590B"/>
    <w:rsid w:val="00881B35"/>
    <w:rsid w:val="00884897"/>
    <w:rsid w:val="008951EC"/>
    <w:rsid w:val="008A7652"/>
    <w:rsid w:val="008A7FD2"/>
    <w:rsid w:val="008B18FD"/>
    <w:rsid w:val="008B3DC8"/>
    <w:rsid w:val="008D5EEE"/>
    <w:rsid w:val="008E1EAA"/>
    <w:rsid w:val="008E6625"/>
    <w:rsid w:val="008F0B41"/>
    <w:rsid w:val="009107CB"/>
    <w:rsid w:val="009232E8"/>
    <w:rsid w:val="00933374"/>
    <w:rsid w:val="00935BF9"/>
    <w:rsid w:val="00942CCF"/>
    <w:rsid w:val="00946315"/>
    <w:rsid w:val="0095451D"/>
    <w:rsid w:val="0095495D"/>
    <w:rsid w:val="00963A1E"/>
    <w:rsid w:val="00963CE8"/>
    <w:rsid w:val="00985E00"/>
    <w:rsid w:val="0098669D"/>
    <w:rsid w:val="009870FA"/>
    <w:rsid w:val="009901BD"/>
    <w:rsid w:val="00992DA3"/>
    <w:rsid w:val="00995A22"/>
    <w:rsid w:val="009B1E43"/>
    <w:rsid w:val="009C05E0"/>
    <w:rsid w:val="009C2093"/>
    <w:rsid w:val="009C2DA2"/>
    <w:rsid w:val="009C3378"/>
    <w:rsid w:val="009D5349"/>
    <w:rsid w:val="009D7396"/>
    <w:rsid w:val="009E03BD"/>
    <w:rsid w:val="009E12FA"/>
    <w:rsid w:val="009F7648"/>
    <w:rsid w:val="00A0347B"/>
    <w:rsid w:val="00A105C8"/>
    <w:rsid w:val="00A11E8D"/>
    <w:rsid w:val="00A32D1D"/>
    <w:rsid w:val="00A368EA"/>
    <w:rsid w:val="00A37B05"/>
    <w:rsid w:val="00A42756"/>
    <w:rsid w:val="00A46A26"/>
    <w:rsid w:val="00A52BCE"/>
    <w:rsid w:val="00A90F36"/>
    <w:rsid w:val="00AA4417"/>
    <w:rsid w:val="00AA5436"/>
    <w:rsid w:val="00AA6D9D"/>
    <w:rsid w:val="00AB4CE3"/>
    <w:rsid w:val="00AB56AD"/>
    <w:rsid w:val="00AC3BE6"/>
    <w:rsid w:val="00AC6F75"/>
    <w:rsid w:val="00AD5BF6"/>
    <w:rsid w:val="00AE26B0"/>
    <w:rsid w:val="00B014F3"/>
    <w:rsid w:val="00B1240D"/>
    <w:rsid w:val="00B163CE"/>
    <w:rsid w:val="00B17F83"/>
    <w:rsid w:val="00B26F40"/>
    <w:rsid w:val="00B321FE"/>
    <w:rsid w:val="00B33632"/>
    <w:rsid w:val="00B42915"/>
    <w:rsid w:val="00B442A5"/>
    <w:rsid w:val="00B5249D"/>
    <w:rsid w:val="00B60AAE"/>
    <w:rsid w:val="00B62E22"/>
    <w:rsid w:val="00B700D4"/>
    <w:rsid w:val="00B75B9D"/>
    <w:rsid w:val="00B7674B"/>
    <w:rsid w:val="00B95CFC"/>
    <w:rsid w:val="00B96625"/>
    <w:rsid w:val="00BA30B9"/>
    <w:rsid w:val="00BB4E1C"/>
    <w:rsid w:val="00BB5191"/>
    <w:rsid w:val="00BB6E78"/>
    <w:rsid w:val="00BC0AFA"/>
    <w:rsid w:val="00BD0440"/>
    <w:rsid w:val="00BE24A0"/>
    <w:rsid w:val="00BF3DBC"/>
    <w:rsid w:val="00BF6143"/>
    <w:rsid w:val="00C04AAF"/>
    <w:rsid w:val="00C0752A"/>
    <w:rsid w:val="00C26499"/>
    <w:rsid w:val="00C27EA1"/>
    <w:rsid w:val="00C46FA0"/>
    <w:rsid w:val="00C63B73"/>
    <w:rsid w:val="00C67101"/>
    <w:rsid w:val="00C75684"/>
    <w:rsid w:val="00C87671"/>
    <w:rsid w:val="00C90A2F"/>
    <w:rsid w:val="00C91EBC"/>
    <w:rsid w:val="00CA6AFC"/>
    <w:rsid w:val="00CB0FF2"/>
    <w:rsid w:val="00CB4D96"/>
    <w:rsid w:val="00CC5EC9"/>
    <w:rsid w:val="00CE3B39"/>
    <w:rsid w:val="00CE3B5A"/>
    <w:rsid w:val="00CF0AF9"/>
    <w:rsid w:val="00CF7BB9"/>
    <w:rsid w:val="00D1233E"/>
    <w:rsid w:val="00D179CA"/>
    <w:rsid w:val="00D2215B"/>
    <w:rsid w:val="00D33576"/>
    <w:rsid w:val="00D41197"/>
    <w:rsid w:val="00D43853"/>
    <w:rsid w:val="00D56D65"/>
    <w:rsid w:val="00D56F60"/>
    <w:rsid w:val="00D633D3"/>
    <w:rsid w:val="00D66CD0"/>
    <w:rsid w:val="00D84CB7"/>
    <w:rsid w:val="00D86CF9"/>
    <w:rsid w:val="00D879BB"/>
    <w:rsid w:val="00D92CDB"/>
    <w:rsid w:val="00DB5C7A"/>
    <w:rsid w:val="00DC6604"/>
    <w:rsid w:val="00DC6A90"/>
    <w:rsid w:val="00DC7ADC"/>
    <w:rsid w:val="00DE5930"/>
    <w:rsid w:val="00DF1B8F"/>
    <w:rsid w:val="00DF1BD0"/>
    <w:rsid w:val="00E07DD2"/>
    <w:rsid w:val="00E1034D"/>
    <w:rsid w:val="00E13367"/>
    <w:rsid w:val="00E17DBF"/>
    <w:rsid w:val="00E24DEC"/>
    <w:rsid w:val="00E27EC9"/>
    <w:rsid w:val="00E35905"/>
    <w:rsid w:val="00E35CB5"/>
    <w:rsid w:val="00E37816"/>
    <w:rsid w:val="00E41A18"/>
    <w:rsid w:val="00E53C6E"/>
    <w:rsid w:val="00E65842"/>
    <w:rsid w:val="00E65A9A"/>
    <w:rsid w:val="00E6782B"/>
    <w:rsid w:val="00E7619B"/>
    <w:rsid w:val="00E80840"/>
    <w:rsid w:val="00E81D35"/>
    <w:rsid w:val="00E90242"/>
    <w:rsid w:val="00E9073B"/>
    <w:rsid w:val="00E930E9"/>
    <w:rsid w:val="00E97347"/>
    <w:rsid w:val="00EA0084"/>
    <w:rsid w:val="00EA2638"/>
    <w:rsid w:val="00EA5CA7"/>
    <w:rsid w:val="00EB5B15"/>
    <w:rsid w:val="00ED0FF9"/>
    <w:rsid w:val="00ED313F"/>
    <w:rsid w:val="00ED4E54"/>
    <w:rsid w:val="00EE2918"/>
    <w:rsid w:val="00EF7D94"/>
    <w:rsid w:val="00F0761A"/>
    <w:rsid w:val="00F23451"/>
    <w:rsid w:val="00F334D1"/>
    <w:rsid w:val="00F4100F"/>
    <w:rsid w:val="00F462DD"/>
    <w:rsid w:val="00F624A7"/>
    <w:rsid w:val="00F624E2"/>
    <w:rsid w:val="00F66123"/>
    <w:rsid w:val="00F671F2"/>
    <w:rsid w:val="00F740B7"/>
    <w:rsid w:val="00F76693"/>
    <w:rsid w:val="00F85985"/>
    <w:rsid w:val="00F92690"/>
    <w:rsid w:val="00F93B9F"/>
    <w:rsid w:val="00F942D9"/>
    <w:rsid w:val="00FA5566"/>
    <w:rsid w:val="00FB51EC"/>
    <w:rsid w:val="00FB53E5"/>
    <w:rsid w:val="00FC3CCF"/>
    <w:rsid w:val="00FC4C46"/>
    <w:rsid w:val="00FC660D"/>
    <w:rsid w:val="00FD2969"/>
    <w:rsid w:val="00FD4495"/>
    <w:rsid w:val="00FE35E5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74ECC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tabs>
        <w:tab w:val="left" w:pos="0"/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link w:val="FooterChar"/>
    <w:uiPriority w:val="99"/>
  </w:style>
  <w:style w:type="paragraph" w:styleId="Title">
    <w:name w:val="Title"/>
    <w:basedOn w:val="Normal"/>
    <w:qFormat/>
    <w:pPr>
      <w:spacing w:after="53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evel1">
    <w:name w:val="_level1"/>
    <w:basedOn w:val="Normal"/>
    <w:pPr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outlineLvl w:val="0"/>
    </w:pPr>
  </w:style>
  <w:style w:type="paragraph" w:customStyle="1" w:styleId="subhead2">
    <w:name w:val="subhead2"/>
    <w:basedOn w:val="Normal"/>
    <w:pPr>
      <w:spacing w:after="120"/>
    </w:pPr>
    <w:rPr>
      <w:rFonts w:ascii="Lucida Sans Typewriter" w:hAnsi="Lucida Sans Typewriter" w:cs="Lucida Sans Typewriter"/>
      <w:smallCaps/>
      <w:sz w:val="28"/>
      <w:szCs w:val="28"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0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4F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41F6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41F65"/>
    <w:rPr>
      <w:sz w:val="24"/>
      <w:szCs w:val="24"/>
    </w:rPr>
  </w:style>
  <w:style w:type="character" w:styleId="CommentReference">
    <w:name w:val="annotation reference"/>
    <w:rsid w:val="009D5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349"/>
  </w:style>
  <w:style w:type="paragraph" w:styleId="CommentSubject">
    <w:name w:val="annotation subject"/>
    <w:basedOn w:val="CommentText"/>
    <w:next w:val="CommentText"/>
    <w:link w:val="CommentSubjectChar"/>
    <w:rsid w:val="009D5349"/>
    <w:rPr>
      <w:b/>
      <w:bCs/>
    </w:rPr>
  </w:style>
  <w:style w:type="character" w:customStyle="1" w:styleId="CommentSubjectChar">
    <w:name w:val="Comment Subject Char"/>
    <w:link w:val="CommentSubject"/>
    <w:rsid w:val="009D5349"/>
    <w:rPr>
      <w:b/>
      <w:bCs/>
    </w:rPr>
  </w:style>
  <w:style w:type="paragraph" w:customStyle="1" w:styleId="Default">
    <w:name w:val="Default"/>
    <w:rsid w:val="004C1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901BD"/>
    <w:pPr>
      <w:spacing w:after="120"/>
    </w:pPr>
  </w:style>
  <w:style w:type="character" w:customStyle="1" w:styleId="BodyTextChar">
    <w:name w:val="Body Text Char"/>
    <w:link w:val="BodyText"/>
    <w:rsid w:val="009901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0F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3572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436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607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30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6781-5F07-4340-BFA3-397BA97E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2019-03-07T20:11:00Z</dcterms:created>
  <dcterms:modified xsi:type="dcterms:W3CDTF">2019-03-08T14:02:00Z</dcterms:modified>
</cp:coreProperties>
</file>