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A7003E" w14:textId="0DEFCDD1" w:rsidR="002D013D" w:rsidRPr="00D56981" w:rsidRDefault="00FC17B6" w:rsidP="005D29B3">
      <w:pPr>
        <w:pStyle w:val="Title"/>
        <w:spacing w:after="240"/>
        <w:rPr>
          <w:b/>
          <w:sz w:val="40"/>
          <w:szCs w:val="40"/>
        </w:rPr>
      </w:pPr>
      <w:r w:rsidRPr="00E07AC4">
        <w:rPr>
          <w:b/>
          <w:i/>
          <w:noProof/>
          <w:sz w:val="38"/>
          <w:szCs w:val="38"/>
        </w:rPr>
        <mc:AlternateContent>
          <mc:Choice Requires="wps">
            <w:drawing>
              <wp:anchor distT="0" distB="0" distL="228600" distR="114300" simplePos="0" relativeHeight="251655168" behindDoc="1" locked="0" layoutInCell="1" allowOverlap="1" wp14:anchorId="57A70069" wp14:editId="6E856404">
                <wp:simplePos x="0" y="0"/>
                <wp:positionH relativeFrom="column">
                  <wp:posOffset>-67733</wp:posOffset>
                </wp:positionH>
                <wp:positionV relativeFrom="paragraph">
                  <wp:posOffset>711200</wp:posOffset>
                </wp:positionV>
                <wp:extent cx="7004050" cy="1896533"/>
                <wp:effectExtent l="0" t="0" r="25400" b="2794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896533"/>
                        </a:xfrm>
                        <a:prstGeom prst="rect">
                          <a:avLst/>
                        </a:prstGeom>
                        <a:gradFill rotWithShape="1">
                          <a:gsLst>
                            <a:gs pos="0">
                              <a:srgbClr val="FFFFFF"/>
                            </a:gs>
                            <a:gs pos="100000">
                              <a:schemeClr val="accent1">
                                <a:lumMod val="40000"/>
                                <a:lumOff val="60000"/>
                              </a:schemeClr>
                            </a:gs>
                          </a:gsLst>
                          <a:path path="rect">
                            <a:fillToRect r="100000" b="100000"/>
                          </a:path>
                        </a:gradFill>
                        <a:ln w="12700">
                          <a:solidFill>
                            <a:schemeClr val="tx2"/>
                          </a:solidFill>
                          <a:miter lim="800000"/>
                          <a:headEnd/>
                          <a:tailEnd/>
                        </a:ln>
                        <a:effectLst/>
                      </wps:spPr>
                      <wps:txbx>
                        <w:txbxContent>
                          <w:p w14:paraId="57A7007C" w14:textId="77777777" w:rsidR="00E85C4D" w:rsidRPr="006E5948" w:rsidRDefault="00E85C4D" w:rsidP="002D013D">
                            <w:pPr>
                              <w:pStyle w:val="ListParagraph"/>
                              <w:jc w:val="both"/>
                              <w:rPr>
                                <w:i/>
                                <w:sz w:val="24"/>
                                <w:szCs w:val="24"/>
                              </w:rPr>
                            </w:pPr>
                            <w:r w:rsidRPr="006E5948">
                              <w:rPr>
                                <w:i/>
                                <w:sz w:val="24"/>
                                <w:szCs w:val="24"/>
                              </w:rPr>
                              <w:t xml:space="preserve"> </w:t>
                            </w:r>
                          </w:p>
                          <w:p w14:paraId="57A7007D" w14:textId="77777777" w:rsidR="00E85C4D" w:rsidRDefault="00E85C4D" w:rsidP="002D013D">
                            <w:pPr>
                              <w:jc w:val="both"/>
                            </w:pPr>
                          </w:p>
                          <w:p w14:paraId="57A7007E" w14:textId="77777777" w:rsidR="0017043B" w:rsidRDefault="0017043B" w:rsidP="002D01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7A70069" id="_x0000_t202" coordsize="21600,21600" o:spt="202" path="m,l,21600r21600,l21600,xe">
                <v:stroke joinstyle="miter"/>
                <v:path gradientshapeok="t" o:connecttype="rect"/>
              </v:shapetype>
              <v:shape id="Text Box 3" o:spid="_x0000_s1026" type="#_x0000_t202" alt="&quot;&quot;" style="position:absolute;margin-left:-5.35pt;margin-top:56pt;width:551.5pt;height:149.35pt;z-index:-251661312;visibility:visible;mso-wrap-style:square;mso-width-percent:0;mso-height-percent:0;mso-wrap-distance-left:1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" strokecolor="#1f497d [3215]" strokeweight="1pt">
                <v:fill color2="#b8cce4 [1300]" rotate="t" focus="100%" type="gradientRadial">
                  <o:fill v:ext="view" type="gradientCenter"/>
                </v:fill>
                <v:textbox inset=",7.2pt,,7.2pt">
                  <w:txbxContent>
                    <w:p w14:paraId="57A7007C" w14:textId="77777777" w:rsidR="00E85C4D" w:rsidRPr="006E5948" w:rsidRDefault="00E85C4D" w:rsidP="002D013D">
                      <w:pPr>
                        <w:pStyle w:val="ListParagraph"/>
                        <w:jc w:val="both"/>
                        <w:rPr>
                          <w:i/>
                          <w:sz w:val="24"/>
                          <w:szCs w:val="24"/>
                        </w:rPr>
                      </w:pPr>
                      <w:r w:rsidRPr="006E5948">
                        <w:rPr>
                          <w:i/>
                          <w:sz w:val="24"/>
                          <w:szCs w:val="24"/>
                        </w:rPr>
                        <w:t xml:space="preserve"> </w:t>
                      </w:r>
                    </w:p>
                    <w:p w14:paraId="57A7007D" w14:textId="77777777" w:rsidR="00E85C4D" w:rsidRDefault="00E85C4D" w:rsidP="002D013D">
                      <w:pPr>
                        <w:jc w:val="both"/>
                      </w:pPr>
                    </w:p>
                    <w:p w14:paraId="57A7007E" w14:textId="77777777" w:rsidR="0017043B" w:rsidRDefault="0017043B" w:rsidP="002D013D"/>
                  </w:txbxContent>
                </v:textbox>
              </v:shape>
            </w:pict>
          </mc:Fallback>
        </mc:AlternateContent>
      </w:r>
      <w:r w:rsidR="00C01051" w:rsidRPr="00E07AC4">
        <w:rPr>
          <w:b/>
          <w:sz w:val="38"/>
          <w:szCs w:val="38"/>
        </w:rPr>
        <w:t>Industrial Process</w:t>
      </w:r>
      <w:r w:rsidR="007B3F8F">
        <w:rPr>
          <w:b/>
          <w:sz w:val="38"/>
          <w:szCs w:val="38"/>
        </w:rPr>
        <w:t>es</w:t>
      </w:r>
      <w:r w:rsidR="00DE22E3">
        <w:rPr>
          <w:b/>
          <w:sz w:val="38"/>
          <w:szCs w:val="38"/>
        </w:rPr>
        <w:t xml:space="preserve"> and </w:t>
      </w:r>
      <w:r w:rsidR="00D06BE5">
        <w:rPr>
          <w:b/>
          <w:sz w:val="38"/>
          <w:szCs w:val="38"/>
        </w:rPr>
        <w:t>Product</w:t>
      </w:r>
      <w:r w:rsidR="00DE22E3">
        <w:rPr>
          <w:b/>
          <w:sz w:val="38"/>
          <w:szCs w:val="38"/>
        </w:rPr>
        <w:t xml:space="preserve"> Use</w:t>
      </w:r>
      <w:r w:rsidR="002D013D" w:rsidRPr="00E07AC4">
        <w:rPr>
          <w:b/>
          <w:sz w:val="38"/>
          <w:szCs w:val="38"/>
        </w:rPr>
        <w:t xml:space="preserve">: </w:t>
      </w:r>
      <w:r w:rsidR="00C41854" w:rsidRPr="00E07AC4">
        <w:rPr>
          <w:b/>
          <w:sz w:val="38"/>
          <w:szCs w:val="38"/>
        </w:rPr>
        <w:t xml:space="preserve">Sector Lead </w:t>
      </w:r>
      <w:r w:rsidR="002D013D" w:rsidRPr="00E07AC4">
        <w:rPr>
          <w:b/>
          <w:sz w:val="38"/>
          <w:szCs w:val="38"/>
        </w:rPr>
        <w:t>Roles</w:t>
      </w:r>
      <w:r w:rsidR="002D013D" w:rsidRPr="00D56981">
        <w:rPr>
          <w:b/>
          <w:sz w:val="40"/>
          <w:szCs w:val="40"/>
        </w:rPr>
        <w:t xml:space="preserve"> </w:t>
      </w:r>
      <w:r w:rsidR="002D013D" w:rsidRPr="00E07AC4">
        <w:rPr>
          <w:b/>
          <w:sz w:val="38"/>
          <w:szCs w:val="38"/>
        </w:rPr>
        <w:t>and Responsibilities</w:t>
      </w:r>
    </w:p>
    <w:p w14:paraId="57A70040" w14:textId="2FF2D562" w:rsidR="00FD227C" w:rsidRDefault="00701D9A" w:rsidP="00676A53">
      <w:pPr>
        <w:spacing w:after="120"/>
        <w:rPr>
          <w:rFonts w:eastAsiaTheme="majorEastAsia" w:cstheme="majorBidi"/>
          <w:bCs/>
          <w:sz w:val="24"/>
          <w:szCs w:val="24"/>
        </w:rPr>
      </w:pPr>
      <w:r>
        <w:rPr>
          <w:rFonts w:eastAsiaTheme="majorEastAsia" w:cstheme="majorBidi"/>
          <w:bCs/>
          <w:sz w:val="24"/>
          <w:szCs w:val="24"/>
        </w:rPr>
        <w:t>In implementing institutional arrangements</w:t>
      </w:r>
      <w:r w:rsidR="00C740C5">
        <w:rPr>
          <w:rFonts w:eastAsiaTheme="majorEastAsia" w:cstheme="majorBidi"/>
          <w:bCs/>
          <w:sz w:val="24"/>
          <w:szCs w:val="24"/>
        </w:rPr>
        <w:t xml:space="preserve"> for the </w:t>
      </w:r>
      <w:r w:rsidR="00FD7DCD">
        <w:rPr>
          <w:rFonts w:eastAsiaTheme="majorEastAsia" w:cstheme="majorBidi"/>
          <w:bCs/>
          <w:sz w:val="24"/>
          <w:szCs w:val="24"/>
        </w:rPr>
        <w:t>N</w:t>
      </w:r>
      <w:r w:rsidR="00C740C5">
        <w:rPr>
          <w:rFonts w:eastAsiaTheme="majorEastAsia" w:cstheme="majorBidi"/>
          <w:bCs/>
          <w:sz w:val="24"/>
          <w:szCs w:val="24"/>
        </w:rPr>
        <w:t xml:space="preserve">ational </w:t>
      </w:r>
      <w:r w:rsidR="00FD7DCD" w:rsidRPr="00936DCC">
        <w:rPr>
          <w:rFonts w:eastAsiaTheme="majorEastAsia" w:cstheme="majorBidi"/>
          <w:bCs/>
          <w:sz w:val="24"/>
          <w:szCs w:val="24"/>
        </w:rPr>
        <w:t xml:space="preserve">Greenhouse Gas (GHG) </w:t>
      </w:r>
      <w:r w:rsidR="00FD7DCD">
        <w:rPr>
          <w:rFonts w:eastAsiaTheme="majorEastAsia" w:cstheme="majorBidi"/>
          <w:bCs/>
          <w:sz w:val="24"/>
          <w:szCs w:val="24"/>
        </w:rPr>
        <w:t>I</w:t>
      </w:r>
      <w:r w:rsidR="00C740C5">
        <w:rPr>
          <w:rFonts w:eastAsiaTheme="majorEastAsia" w:cstheme="majorBidi"/>
          <w:bCs/>
          <w:sz w:val="24"/>
          <w:szCs w:val="24"/>
        </w:rPr>
        <w:t>nventory</w:t>
      </w:r>
      <w:r>
        <w:rPr>
          <w:rFonts w:eastAsiaTheme="majorEastAsia" w:cstheme="majorBidi"/>
          <w:bCs/>
          <w:sz w:val="24"/>
          <w:szCs w:val="24"/>
        </w:rPr>
        <w:t xml:space="preserve">, it is important to communicate responsibilities to </w:t>
      </w:r>
      <w:r w:rsidR="00C740C5">
        <w:rPr>
          <w:rFonts w:eastAsiaTheme="majorEastAsia" w:cstheme="majorBidi"/>
          <w:bCs/>
          <w:sz w:val="24"/>
          <w:szCs w:val="24"/>
        </w:rPr>
        <w:t xml:space="preserve">all </w:t>
      </w:r>
      <w:r>
        <w:rPr>
          <w:rFonts w:eastAsiaTheme="majorEastAsia" w:cstheme="majorBidi"/>
          <w:bCs/>
          <w:sz w:val="24"/>
          <w:szCs w:val="24"/>
        </w:rPr>
        <w:t xml:space="preserve">contributing staff. </w:t>
      </w:r>
      <w:r w:rsidR="001079DC" w:rsidRPr="00936DCC">
        <w:rPr>
          <w:rFonts w:eastAsiaTheme="majorEastAsia" w:cstheme="majorBidi"/>
          <w:bCs/>
          <w:sz w:val="24"/>
          <w:szCs w:val="24"/>
        </w:rPr>
        <w:t xml:space="preserve">This document describes the </w:t>
      </w:r>
      <w:r w:rsidR="00ED0BBC">
        <w:rPr>
          <w:rFonts w:eastAsiaTheme="majorEastAsia" w:cstheme="majorBidi"/>
          <w:bCs/>
          <w:sz w:val="24"/>
          <w:szCs w:val="24"/>
        </w:rPr>
        <w:t>major</w:t>
      </w:r>
      <w:r w:rsidR="001079DC" w:rsidRPr="00936DCC">
        <w:rPr>
          <w:rFonts w:eastAsiaTheme="majorEastAsia" w:cstheme="majorBidi"/>
          <w:bCs/>
          <w:sz w:val="24"/>
          <w:szCs w:val="24"/>
        </w:rPr>
        <w:t xml:space="preserve"> responsibilities </w:t>
      </w:r>
      <w:r>
        <w:rPr>
          <w:rFonts w:eastAsiaTheme="majorEastAsia" w:cstheme="majorBidi"/>
          <w:bCs/>
          <w:sz w:val="24"/>
          <w:szCs w:val="24"/>
        </w:rPr>
        <w:t xml:space="preserve">for </w:t>
      </w:r>
      <w:r w:rsidR="00031800">
        <w:rPr>
          <w:rFonts w:eastAsiaTheme="majorEastAsia" w:cstheme="majorBidi"/>
          <w:bCs/>
          <w:sz w:val="24"/>
          <w:szCs w:val="24"/>
        </w:rPr>
        <w:t>the</w:t>
      </w:r>
      <w:r w:rsidR="001079DC" w:rsidRPr="00936DCC">
        <w:rPr>
          <w:rFonts w:eastAsiaTheme="majorEastAsia" w:cstheme="majorBidi"/>
          <w:bCs/>
          <w:sz w:val="24"/>
          <w:szCs w:val="24"/>
        </w:rPr>
        <w:t xml:space="preserve"> </w:t>
      </w:r>
      <w:r w:rsidR="00E07AC4">
        <w:rPr>
          <w:rFonts w:eastAsiaTheme="majorEastAsia" w:cstheme="majorBidi"/>
          <w:b/>
          <w:bCs/>
          <w:sz w:val="24"/>
          <w:szCs w:val="24"/>
        </w:rPr>
        <w:t xml:space="preserve">Industrial </w:t>
      </w:r>
      <w:r w:rsidR="00222CC1">
        <w:rPr>
          <w:rFonts w:eastAsiaTheme="majorEastAsia" w:cstheme="majorBidi"/>
          <w:b/>
          <w:bCs/>
          <w:sz w:val="24"/>
          <w:szCs w:val="24"/>
        </w:rPr>
        <w:t>Process</w:t>
      </w:r>
      <w:r w:rsidR="007B3F8F">
        <w:rPr>
          <w:rFonts w:eastAsiaTheme="majorEastAsia" w:cstheme="majorBidi"/>
          <w:b/>
          <w:bCs/>
          <w:sz w:val="24"/>
          <w:szCs w:val="24"/>
        </w:rPr>
        <w:t>es</w:t>
      </w:r>
      <w:r w:rsidR="00DE22E3">
        <w:rPr>
          <w:rFonts w:eastAsiaTheme="majorEastAsia" w:cstheme="majorBidi"/>
          <w:b/>
          <w:bCs/>
          <w:sz w:val="24"/>
          <w:szCs w:val="24"/>
        </w:rPr>
        <w:t xml:space="preserve"> and Product Use</w:t>
      </w:r>
      <w:r w:rsidR="007B3F8F">
        <w:rPr>
          <w:rFonts w:eastAsiaTheme="majorEastAsia" w:cstheme="majorBidi"/>
          <w:b/>
          <w:bCs/>
          <w:sz w:val="24"/>
          <w:szCs w:val="24"/>
        </w:rPr>
        <w:t xml:space="preserve"> (IP</w:t>
      </w:r>
      <w:r w:rsidR="00DE22E3">
        <w:rPr>
          <w:rFonts w:eastAsiaTheme="majorEastAsia" w:cstheme="majorBidi"/>
          <w:b/>
          <w:bCs/>
          <w:sz w:val="24"/>
          <w:szCs w:val="24"/>
        </w:rPr>
        <w:t>PU</w:t>
      </w:r>
      <w:r w:rsidR="007B3F8F">
        <w:rPr>
          <w:rFonts w:eastAsiaTheme="majorEastAsia" w:cstheme="majorBidi"/>
          <w:b/>
          <w:bCs/>
          <w:sz w:val="24"/>
          <w:szCs w:val="24"/>
        </w:rPr>
        <w:t>)</w:t>
      </w:r>
      <w:r w:rsidR="00222CC1">
        <w:rPr>
          <w:rFonts w:eastAsiaTheme="majorEastAsia" w:cstheme="majorBidi"/>
          <w:b/>
          <w:bCs/>
          <w:sz w:val="24"/>
          <w:szCs w:val="24"/>
        </w:rPr>
        <w:t xml:space="preserve"> </w:t>
      </w:r>
      <w:r w:rsidR="005A356A" w:rsidRPr="006266BA">
        <w:rPr>
          <w:rFonts w:eastAsiaTheme="majorEastAsia" w:cstheme="majorBidi"/>
          <w:bCs/>
          <w:sz w:val="24"/>
          <w:szCs w:val="24"/>
        </w:rPr>
        <w:t xml:space="preserve">Sector </w:t>
      </w:r>
      <w:r w:rsidR="001079DC" w:rsidRPr="006266BA">
        <w:rPr>
          <w:rFonts w:eastAsiaTheme="majorEastAsia" w:cstheme="majorBidi"/>
          <w:bCs/>
          <w:sz w:val="24"/>
          <w:szCs w:val="24"/>
        </w:rPr>
        <w:t>Lead</w:t>
      </w:r>
      <w:r w:rsidR="00031800">
        <w:rPr>
          <w:rFonts w:eastAsiaTheme="majorEastAsia" w:cstheme="majorBidi"/>
          <w:bCs/>
          <w:sz w:val="24"/>
          <w:szCs w:val="24"/>
        </w:rPr>
        <w:t>, whose</w:t>
      </w:r>
      <w:r w:rsidR="001079DC" w:rsidRPr="00936DCC">
        <w:rPr>
          <w:rFonts w:eastAsiaTheme="majorEastAsia" w:cstheme="majorBidi"/>
          <w:bCs/>
          <w:sz w:val="24"/>
          <w:szCs w:val="24"/>
        </w:rPr>
        <w:t xml:space="preserve"> primary role </w:t>
      </w:r>
      <w:r w:rsidR="00D01B96">
        <w:rPr>
          <w:rFonts w:eastAsiaTheme="majorEastAsia" w:cstheme="majorBidi"/>
          <w:bCs/>
          <w:sz w:val="24"/>
          <w:szCs w:val="24"/>
        </w:rPr>
        <w:t>will be</w:t>
      </w:r>
      <w:r w:rsidR="00D01B96" w:rsidRPr="00936DCC">
        <w:rPr>
          <w:rFonts w:eastAsiaTheme="majorEastAsia" w:cstheme="majorBidi"/>
          <w:bCs/>
          <w:sz w:val="24"/>
          <w:szCs w:val="24"/>
        </w:rPr>
        <w:t xml:space="preserve"> </w:t>
      </w:r>
      <w:r w:rsidR="001079DC" w:rsidRPr="00936DCC">
        <w:rPr>
          <w:rFonts w:eastAsiaTheme="majorEastAsia" w:cstheme="majorBidi"/>
          <w:bCs/>
          <w:sz w:val="24"/>
          <w:szCs w:val="24"/>
        </w:rPr>
        <w:t xml:space="preserve">to manage and coordinate development of GHG emission estimates in the </w:t>
      </w:r>
      <w:r w:rsidR="006A6220">
        <w:rPr>
          <w:rFonts w:eastAsiaTheme="majorEastAsia" w:cstheme="majorBidi"/>
          <w:bCs/>
          <w:sz w:val="24"/>
          <w:szCs w:val="24"/>
        </w:rPr>
        <w:t>IPPU</w:t>
      </w:r>
      <w:r w:rsidR="001079DC" w:rsidRPr="00936DCC">
        <w:rPr>
          <w:rFonts w:eastAsiaTheme="majorEastAsia" w:cstheme="majorBidi"/>
          <w:bCs/>
          <w:sz w:val="24"/>
          <w:szCs w:val="24"/>
        </w:rPr>
        <w:t xml:space="preserve"> sector. </w:t>
      </w:r>
    </w:p>
    <w:p w14:paraId="57A70041" w14:textId="77777777" w:rsidR="00FD227C" w:rsidRDefault="00FD227C" w:rsidP="00676A53">
      <w:pPr>
        <w:spacing w:after="120"/>
        <w:rPr>
          <w:rFonts w:eastAsiaTheme="majorEastAsia" w:cstheme="majorBidi"/>
          <w:bCs/>
          <w:sz w:val="24"/>
          <w:szCs w:val="24"/>
        </w:rPr>
      </w:pPr>
      <w:r>
        <w:rPr>
          <w:rFonts w:eastAsia="Times New Roman"/>
          <w:sz w:val="24"/>
          <w:szCs w:val="24"/>
          <w:lang w:val="en-GB" w:eastAsia="zh-CN"/>
        </w:rPr>
        <w:t xml:space="preserve">This document is part of EPA’s </w:t>
      </w:r>
      <w:hyperlink r:id="rId12" w:anchor="ghg-toolkit" w:history="1">
        <w:r>
          <w:rPr>
            <w:rStyle w:val="Hyperlink"/>
            <w:rFonts w:eastAsia="Times New Roman"/>
            <w:sz w:val="24"/>
            <w:szCs w:val="24"/>
            <w:lang w:val="en-GB" w:eastAsia="zh-CN"/>
          </w:rPr>
          <w:t>Toolkit for Building National GHG Inventory Systems</w:t>
        </w:r>
      </w:hyperlink>
      <w:r>
        <w:rPr>
          <w:rFonts w:eastAsia="Times New Roman"/>
          <w:sz w:val="24"/>
          <w:szCs w:val="24"/>
          <w:lang w:val="en-GB" w:eastAsia="zh-CN"/>
        </w:rPr>
        <w:t xml:space="preserve"> (“Toolkit”), which key members of a national inventory team may use to design and develop a sustainable inventory system. In addition, it complements EPA’s </w:t>
      </w:r>
      <w:r>
        <w:rPr>
          <w:rFonts w:eastAsia="Times New Roman"/>
          <w:i/>
          <w:sz w:val="24"/>
          <w:szCs w:val="24"/>
          <w:lang w:val="en-GB" w:eastAsia="zh-CN"/>
        </w:rPr>
        <w:t>Templates for Creating a National GHG Inventory System Manual</w:t>
      </w:r>
      <w:r>
        <w:rPr>
          <w:rFonts w:eastAsia="Times New Roman"/>
          <w:sz w:val="24"/>
          <w:szCs w:val="24"/>
          <w:lang w:val="en-GB" w:eastAsia="zh-CN"/>
        </w:rPr>
        <w:t xml:space="preserve">, also within the Toolkit. Specifically, the </w:t>
      </w:r>
      <w:r w:rsidR="00DE22E3">
        <w:rPr>
          <w:rFonts w:eastAsia="Times New Roman"/>
          <w:sz w:val="24"/>
          <w:szCs w:val="24"/>
          <w:lang w:val="en-GB" w:eastAsia="zh-CN"/>
        </w:rPr>
        <w:t>IPPU Sector</w:t>
      </w:r>
      <w:r>
        <w:rPr>
          <w:rFonts w:eastAsia="Times New Roman"/>
          <w:sz w:val="24"/>
          <w:szCs w:val="24"/>
          <w:lang w:val="en-GB" w:eastAsia="zh-CN"/>
        </w:rPr>
        <w:t xml:space="preserve"> Lead is encouraged to use this template in conjunction with </w:t>
      </w:r>
      <w:r>
        <w:rPr>
          <w:rFonts w:eastAsia="Times New Roman"/>
          <w:sz w:val="24"/>
          <w:szCs w:val="24"/>
          <w:u w:val="single"/>
          <w:lang w:val="en-GB" w:eastAsia="zh-CN"/>
        </w:rPr>
        <w:t>Template 2: Institutional Arrangements</w:t>
      </w:r>
      <w:r>
        <w:rPr>
          <w:rFonts w:eastAsia="Times New Roman"/>
          <w:sz w:val="24"/>
          <w:szCs w:val="24"/>
          <w:lang w:val="en-GB" w:eastAsia="zh-CN"/>
        </w:rPr>
        <w:t xml:space="preserve">.  </w:t>
      </w:r>
    </w:p>
    <w:p w14:paraId="57A70042" w14:textId="77777777" w:rsidR="0017043B" w:rsidRPr="00676A53" w:rsidRDefault="0017043B" w:rsidP="008679E1">
      <w:pPr>
        <w:rPr>
          <w:rFonts w:eastAsiaTheme="majorEastAsia" w:cstheme="majorBidi"/>
          <w:bCs/>
          <w:sz w:val="16"/>
          <w:szCs w:val="16"/>
        </w:rPr>
      </w:pPr>
    </w:p>
    <w:p w14:paraId="57A70043" w14:textId="77777777" w:rsidR="002D013D" w:rsidRPr="004C220B" w:rsidRDefault="002D013D" w:rsidP="004F11DC">
      <w:pPr>
        <w:pStyle w:val="Heading2"/>
        <w:pBdr>
          <w:top w:val="single" w:sz="8" w:space="1" w:color="1F497D" w:themeColor="text2"/>
          <w:left w:val="single" w:sz="8" w:space="3" w:color="1F497D" w:themeColor="text2"/>
          <w:bottom w:val="single" w:sz="8" w:space="1" w:color="1F497D" w:themeColor="text2"/>
          <w:right w:val="single" w:sz="8" w:space="4" w:color="1F497D" w:themeColor="text2"/>
        </w:pBdr>
        <w:shd w:val="clear" w:color="auto" w:fill="FABF8F" w:themeFill="accent6" w:themeFillTint="99"/>
        <w:spacing w:before="0" w:line="276" w:lineRule="auto"/>
      </w:pPr>
      <w:r w:rsidRPr="00C01D1D">
        <w:t xml:space="preserve">The </w:t>
      </w:r>
      <w:r w:rsidR="007B3F8F">
        <w:t>IP</w:t>
      </w:r>
      <w:r w:rsidR="00DE22E3">
        <w:t>PU</w:t>
      </w:r>
      <w:r w:rsidR="00222CC1">
        <w:t xml:space="preserve"> </w:t>
      </w:r>
      <w:r w:rsidR="006F44F3" w:rsidRPr="00C01D1D">
        <w:t xml:space="preserve">Sector </w:t>
      </w:r>
      <w:r w:rsidRPr="00C01D1D">
        <w:t xml:space="preserve">Lead </w:t>
      </w:r>
      <w:r w:rsidR="00C96178" w:rsidRPr="00C01D1D">
        <w:t>S</w:t>
      </w:r>
      <w:r w:rsidR="00EC64DD" w:rsidRPr="00C01D1D">
        <w:t xml:space="preserve">hould </w:t>
      </w:r>
      <w:r w:rsidR="00C86425">
        <w:t>Understand</w:t>
      </w:r>
      <w:r w:rsidRPr="00C01D1D">
        <w:t>:</w:t>
      </w:r>
    </w:p>
    <w:p w14:paraId="57A70044" w14:textId="53F038E7" w:rsidR="002D013D" w:rsidRPr="008679E1" w:rsidRDefault="006A6220" w:rsidP="00676A53">
      <w:pPr>
        <w:pStyle w:val="ListParagraph"/>
        <w:numPr>
          <w:ilvl w:val="0"/>
          <w:numId w:val="10"/>
        </w:numPr>
        <w:spacing w:before="80" w:after="80" w:line="240" w:lineRule="exact"/>
        <w:ind w:left="450"/>
        <w:contextualSpacing w:val="0"/>
        <w:rPr>
          <w:sz w:val="24"/>
          <w:szCs w:val="24"/>
        </w:rPr>
      </w:pPr>
      <w:r>
        <w:rPr>
          <w:sz w:val="24"/>
          <w:szCs w:val="24"/>
        </w:rPr>
        <w:t>the</w:t>
      </w:r>
      <w:r w:rsidR="002D013D" w:rsidRPr="008679E1">
        <w:rPr>
          <w:sz w:val="24"/>
          <w:szCs w:val="24"/>
        </w:rPr>
        <w:t xml:space="preserve"> </w:t>
      </w:r>
      <w:r w:rsidR="00A955D0">
        <w:rPr>
          <w:sz w:val="24"/>
          <w:szCs w:val="24"/>
        </w:rPr>
        <w:t>specific</w:t>
      </w:r>
      <w:r w:rsidR="00A955D0" w:rsidRPr="008679E1">
        <w:rPr>
          <w:sz w:val="24"/>
          <w:szCs w:val="24"/>
        </w:rPr>
        <w:t xml:space="preserve"> responsibilit</w:t>
      </w:r>
      <w:r w:rsidR="00A955D0">
        <w:rPr>
          <w:sz w:val="24"/>
          <w:szCs w:val="24"/>
        </w:rPr>
        <w:t>ies</w:t>
      </w:r>
      <w:r w:rsidR="00A955D0" w:rsidRPr="008679E1">
        <w:rPr>
          <w:sz w:val="24"/>
          <w:szCs w:val="24"/>
        </w:rPr>
        <w:t xml:space="preserve"> </w:t>
      </w:r>
      <w:r>
        <w:rPr>
          <w:sz w:val="24"/>
          <w:szCs w:val="24"/>
        </w:rPr>
        <w:t>of</w:t>
      </w:r>
      <w:r w:rsidR="002D013D" w:rsidRPr="008679E1">
        <w:rPr>
          <w:sz w:val="24"/>
          <w:szCs w:val="24"/>
        </w:rPr>
        <w:t xml:space="preserve"> the </w:t>
      </w:r>
      <w:r w:rsidR="007B3F8F">
        <w:rPr>
          <w:sz w:val="24"/>
          <w:szCs w:val="24"/>
        </w:rPr>
        <w:t>IP</w:t>
      </w:r>
      <w:r>
        <w:rPr>
          <w:sz w:val="24"/>
          <w:szCs w:val="24"/>
        </w:rPr>
        <w:t>PU</w:t>
      </w:r>
      <w:r w:rsidR="00E07AC4">
        <w:rPr>
          <w:sz w:val="24"/>
          <w:szCs w:val="24"/>
        </w:rPr>
        <w:t xml:space="preserve"> </w:t>
      </w:r>
      <w:r w:rsidR="005A356A">
        <w:rPr>
          <w:sz w:val="24"/>
          <w:szCs w:val="24"/>
        </w:rPr>
        <w:t>S</w:t>
      </w:r>
      <w:r w:rsidR="005A356A" w:rsidRPr="008679E1">
        <w:rPr>
          <w:sz w:val="24"/>
          <w:szCs w:val="24"/>
        </w:rPr>
        <w:t xml:space="preserve">ector </w:t>
      </w:r>
      <w:r w:rsidR="002D013D" w:rsidRPr="008679E1">
        <w:rPr>
          <w:sz w:val="24"/>
          <w:szCs w:val="24"/>
        </w:rPr>
        <w:t xml:space="preserve">Lead, including </w:t>
      </w:r>
      <w:r w:rsidR="00A955D0">
        <w:rPr>
          <w:sz w:val="24"/>
          <w:szCs w:val="24"/>
        </w:rPr>
        <w:t xml:space="preserve">a clear understanding </w:t>
      </w:r>
      <w:r w:rsidR="002D013D" w:rsidRPr="008679E1">
        <w:rPr>
          <w:sz w:val="24"/>
          <w:szCs w:val="24"/>
        </w:rPr>
        <w:t xml:space="preserve">with </w:t>
      </w:r>
      <w:r>
        <w:rPr>
          <w:sz w:val="24"/>
          <w:szCs w:val="24"/>
        </w:rPr>
        <w:t>its</w:t>
      </w:r>
      <w:r w:rsidR="005D29B3" w:rsidRPr="008679E1">
        <w:rPr>
          <w:sz w:val="24"/>
          <w:szCs w:val="24"/>
        </w:rPr>
        <w:t xml:space="preserve"> immediate supervisor/organization and the</w:t>
      </w:r>
      <w:r w:rsidR="002D013D" w:rsidRPr="008679E1">
        <w:rPr>
          <w:sz w:val="24"/>
          <w:szCs w:val="24"/>
        </w:rPr>
        <w:t xml:space="preserve"> </w:t>
      </w:r>
      <w:r w:rsidR="006F44F3" w:rsidRPr="008679E1">
        <w:rPr>
          <w:sz w:val="24"/>
          <w:szCs w:val="24"/>
        </w:rPr>
        <w:t xml:space="preserve">National </w:t>
      </w:r>
      <w:r w:rsidR="001C0DF0" w:rsidRPr="008679E1">
        <w:rPr>
          <w:sz w:val="24"/>
          <w:szCs w:val="24"/>
        </w:rPr>
        <w:t>Inventory Coordinator</w:t>
      </w:r>
      <w:r w:rsidR="00FA0F66" w:rsidRPr="008679E1">
        <w:rPr>
          <w:sz w:val="24"/>
          <w:szCs w:val="24"/>
        </w:rPr>
        <w:t xml:space="preserve"> (NIC)</w:t>
      </w:r>
      <w:r w:rsidR="00A955D0">
        <w:rPr>
          <w:sz w:val="24"/>
          <w:szCs w:val="24"/>
        </w:rPr>
        <w:t xml:space="preserve"> on their role in producing the </w:t>
      </w:r>
      <w:r>
        <w:rPr>
          <w:sz w:val="24"/>
          <w:szCs w:val="24"/>
        </w:rPr>
        <w:t>IPPU</w:t>
      </w:r>
      <w:r w:rsidR="00A955D0">
        <w:rPr>
          <w:sz w:val="24"/>
          <w:szCs w:val="24"/>
        </w:rPr>
        <w:t xml:space="preserve"> GHG estimates for the inventory</w:t>
      </w:r>
      <w:r w:rsidR="00181CD4">
        <w:rPr>
          <w:sz w:val="24"/>
          <w:szCs w:val="24"/>
        </w:rPr>
        <w:t>,</w:t>
      </w:r>
    </w:p>
    <w:p w14:paraId="57A70045" w14:textId="77777777" w:rsidR="002D013D" w:rsidRPr="008679E1" w:rsidRDefault="002D013D" w:rsidP="00676A53">
      <w:pPr>
        <w:pStyle w:val="ListParagraph"/>
        <w:numPr>
          <w:ilvl w:val="0"/>
          <w:numId w:val="10"/>
        </w:numPr>
        <w:spacing w:before="80" w:after="80" w:line="240" w:lineRule="exact"/>
        <w:ind w:left="450"/>
        <w:contextualSpacing w:val="0"/>
        <w:rPr>
          <w:sz w:val="24"/>
          <w:szCs w:val="24"/>
        </w:rPr>
      </w:pPr>
      <w:r w:rsidRPr="008679E1">
        <w:rPr>
          <w:sz w:val="24"/>
          <w:szCs w:val="24"/>
        </w:rPr>
        <w:t xml:space="preserve">the expected </w:t>
      </w:r>
      <w:r w:rsidR="00E31EB4" w:rsidRPr="008679E1">
        <w:rPr>
          <w:sz w:val="24"/>
          <w:szCs w:val="24"/>
        </w:rPr>
        <w:t xml:space="preserve">and </w:t>
      </w:r>
      <w:r w:rsidR="0017043B" w:rsidRPr="008679E1">
        <w:rPr>
          <w:sz w:val="24"/>
          <w:szCs w:val="24"/>
        </w:rPr>
        <w:t xml:space="preserve">required </w:t>
      </w:r>
      <w:r w:rsidRPr="008679E1">
        <w:rPr>
          <w:sz w:val="24"/>
          <w:szCs w:val="24"/>
        </w:rPr>
        <w:t xml:space="preserve">deliverables and timeline for </w:t>
      </w:r>
      <w:r w:rsidR="00E31EB4" w:rsidRPr="008679E1">
        <w:rPr>
          <w:sz w:val="24"/>
          <w:szCs w:val="24"/>
        </w:rPr>
        <w:t xml:space="preserve">the </w:t>
      </w:r>
      <w:r w:rsidRPr="008679E1">
        <w:rPr>
          <w:sz w:val="24"/>
          <w:szCs w:val="24"/>
        </w:rPr>
        <w:t>submission</w:t>
      </w:r>
      <w:r w:rsidR="00EC64DD" w:rsidRPr="008679E1">
        <w:rPr>
          <w:sz w:val="24"/>
          <w:szCs w:val="24"/>
        </w:rPr>
        <w:t xml:space="preserve"> of each deliverable</w:t>
      </w:r>
      <w:r w:rsidRPr="008679E1">
        <w:rPr>
          <w:sz w:val="24"/>
          <w:szCs w:val="24"/>
        </w:rPr>
        <w:t>,</w:t>
      </w:r>
    </w:p>
    <w:p w14:paraId="57A70046" w14:textId="604A8550" w:rsidR="002D013D" w:rsidRPr="008679E1" w:rsidRDefault="002D013D" w:rsidP="00676A53">
      <w:pPr>
        <w:pStyle w:val="ListParagraph"/>
        <w:numPr>
          <w:ilvl w:val="0"/>
          <w:numId w:val="10"/>
        </w:numPr>
        <w:spacing w:before="80" w:after="80" w:line="240" w:lineRule="exact"/>
        <w:ind w:left="450"/>
        <w:contextualSpacing w:val="0"/>
        <w:rPr>
          <w:sz w:val="24"/>
          <w:szCs w:val="24"/>
        </w:rPr>
      </w:pPr>
      <w:r w:rsidRPr="008679E1">
        <w:rPr>
          <w:sz w:val="24"/>
          <w:szCs w:val="24"/>
        </w:rPr>
        <w:t xml:space="preserve">the estimated </w:t>
      </w:r>
      <w:r w:rsidR="00FA0F66" w:rsidRPr="008679E1">
        <w:rPr>
          <w:sz w:val="24"/>
          <w:szCs w:val="24"/>
        </w:rPr>
        <w:t xml:space="preserve">amount of time necessary to complete the </w:t>
      </w:r>
      <w:r w:rsidR="001079DC" w:rsidRPr="008679E1">
        <w:rPr>
          <w:sz w:val="24"/>
          <w:szCs w:val="24"/>
        </w:rPr>
        <w:t>tasks</w:t>
      </w:r>
      <w:r w:rsidRPr="008679E1">
        <w:rPr>
          <w:sz w:val="24"/>
          <w:szCs w:val="24"/>
        </w:rPr>
        <w:t xml:space="preserve"> of the </w:t>
      </w:r>
      <w:r w:rsidR="007B3F8F">
        <w:rPr>
          <w:sz w:val="24"/>
          <w:szCs w:val="24"/>
        </w:rPr>
        <w:t>IP</w:t>
      </w:r>
      <w:r w:rsidR="006A6220">
        <w:rPr>
          <w:sz w:val="24"/>
          <w:szCs w:val="24"/>
        </w:rPr>
        <w:t>PU</w:t>
      </w:r>
      <w:r w:rsidR="00E07AC4">
        <w:rPr>
          <w:sz w:val="24"/>
          <w:szCs w:val="24"/>
        </w:rPr>
        <w:t xml:space="preserve"> </w:t>
      </w:r>
      <w:r w:rsidR="00C41854">
        <w:rPr>
          <w:sz w:val="24"/>
          <w:szCs w:val="24"/>
        </w:rPr>
        <w:t>s</w:t>
      </w:r>
      <w:r w:rsidR="005A356A" w:rsidRPr="008679E1">
        <w:rPr>
          <w:sz w:val="24"/>
          <w:szCs w:val="24"/>
        </w:rPr>
        <w:t>ector</w:t>
      </w:r>
      <w:r w:rsidRPr="008679E1">
        <w:rPr>
          <w:sz w:val="24"/>
          <w:szCs w:val="24"/>
        </w:rPr>
        <w:t>,</w:t>
      </w:r>
    </w:p>
    <w:p w14:paraId="57A70047" w14:textId="37497B47" w:rsidR="002D013D" w:rsidRDefault="002D013D" w:rsidP="00676A53">
      <w:pPr>
        <w:pStyle w:val="ListParagraph"/>
        <w:numPr>
          <w:ilvl w:val="0"/>
          <w:numId w:val="10"/>
        </w:numPr>
        <w:spacing w:before="80" w:after="80" w:line="240" w:lineRule="exact"/>
        <w:ind w:left="450"/>
        <w:contextualSpacing w:val="0"/>
        <w:rPr>
          <w:sz w:val="24"/>
          <w:szCs w:val="24"/>
        </w:rPr>
      </w:pPr>
      <w:r w:rsidRPr="008679E1">
        <w:rPr>
          <w:sz w:val="24"/>
          <w:szCs w:val="24"/>
        </w:rPr>
        <w:t>the budget</w:t>
      </w:r>
      <w:r w:rsidR="00E31EB4" w:rsidRPr="008679E1">
        <w:rPr>
          <w:sz w:val="24"/>
          <w:szCs w:val="24"/>
        </w:rPr>
        <w:t xml:space="preserve">, </w:t>
      </w:r>
      <w:r w:rsidR="0017043B" w:rsidRPr="008679E1">
        <w:rPr>
          <w:sz w:val="24"/>
          <w:szCs w:val="24"/>
        </w:rPr>
        <w:t>as institutional arrangements and national circumstances</w:t>
      </w:r>
      <w:r w:rsidR="006A6220">
        <w:rPr>
          <w:sz w:val="24"/>
          <w:szCs w:val="24"/>
        </w:rPr>
        <w:t xml:space="preserve"> dictate</w:t>
      </w:r>
      <w:r w:rsidR="0017043B" w:rsidRPr="008679E1">
        <w:rPr>
          <w:sz w:val="24"/>
          <w:szCs w:val="24"/>
        </w:rPr>
        <w:t xml:space="preserve">, such as </w:t>
      </w:r>
      <w:r w:rsidR="00E31EB4" w:rsidRPr="008679E1">
        <w:rPr>
          <w:sz w:val="24"/>
          <w:szCs w:val="24"/>
        </w:rPr>
        <w:t xml:space="preserve">the funds </w:t>
      </w:r>
      <w:r w:rsidRPr="008679E1">
        <w:rPr>
          <w:sz w:val="24"/>
          <w:szCs w:val="24"/>
        </w:rPr>
        <w:t>allocated by</w:t>
      </w:r>
      <w:r w:rsidR="00E31EB4" w:rsidRPr="008679E1">
        <w:rPr>
          <w:sz w:val="24"/>
          <w:szCs w:val="24"/>
        </w:rPr>
        <w:t xml:space="preserve"> your immediate supervisor or</w:t>
      </w:r>
      <w:r w:rsidRPr="008679E1">
        <w:rPr>
          <w:sz w:val="24"/>
          <w:szCs w:val="24"/>
        </w:rPr>
        <w:t xml:space="preserve"> the </w:t>
      </w:r>
      <w:r w:rsidR="00FD7DCD">
        <w:rPr>
          <w:sz w:val="24"/>
          <w:szCs w:val="24"/>
        </w:rPr>
        <w:t>NIC</w:t>
      </w:r>
      <w:r w:rsidR="00860957" w:rsidRPr="008679E1">
        <w:rPr>
          <w:sz w:val="24"/>
          <w:szCs w:val="24"/>
        </w:rPr>
        <w:t xml:space="preserve"> </w:t>
      </w:r>
      <w:r w:rsidRPr="008679E1">
        <w:rPr>
          <w:sz w:val="24"/>
          <w:szCs w:val="24"/>
        </w:rPr>
        <w:t xml:space="preserve">to develop </w:t>
      </w:r>
      <w:r w:rsidR="00E31EB4" w:rsidRPr="008679E1">
        <w:rPr>
          <w:sz w:val="24"/>
          <w:szCs w:val="24"/>
        </w:rPr>
        <w:t xml:space="preserve">the </w:t>
      </w:r>
      <w:r w:rsidR="007B3F8F">
        <w:rPr>
          <w:sz w:val="24"/>
          <w:szCs w:val="24"/>
        </w:rPr>
        <w:t>IP</w:t>
      </w:r>
      <w:r w:rsidR="006A6220">
        <w:rPr>
          <w:sz w:val="24"/>
          <w:szCs w:val="24"/>
        </w:rPr>
        <w:t>PU</w:t>
      </w:r>
      <w:r w:rsidR="00842C4F">
        <w:rPr>
          <w:sz w:val="24"/>
          <w:szCs w:val="24"/>
        </w:rPr>
        <w:t xml:space="preserve"> </w:t>
      </w:r>
      <w:r w:rsidR="00756C7B">
        <w:rPr>
          <w:sz w:val="24"/>
          <w:szCs w:val="24"/>
        </w:rPr>
        <w:t>s</w:t>
      </w:r>
      <w:r w:rsidRPr="008679E1">
        <w:rPr>
          <w:sz w:val="24"/>
          <w:szCs w:val="24"/>
        </w:rPr>
        <w:t xml:space="preserve">ector </w:t>
      </w:r>
      <w:r w:rsidR="001079DC" w:rsidRPr="008679E1">
        <w:rPr>
          <w:sz w:val="24"/>
          <w:szCs w:val="24"/>
        </w:rPr>
        <w:t xml:space="preserve">GHG </w:t>
      </w:r>
      <w:r w:rsidRPr="008679E1">
        <w:rPr>
          <w:sz w:val="24"/>
          <w:szCs w:val="24"/>
        </w:rPr>
        <w:t>estimates</w:t>
      </w:r>
      <w:r w:rsidR="006A6220">
        <w:rPr>
          <w:sz w:val="24"/>
          <w:szCs w:val="24"/>
        </w:rPr>
        <w:t>,</w:t>
      </w:r>
      <w:r w:rsidR="00407C04">
        <w:rPr>
          <w:sz w:val="24"/>
          <w:szCs w:val="24"/>
        </w:rPr>
        <w:t xml:space="preserve"> and</w:t>
      </w:r>
      <w:r w:rsidR="00A955D0">
        <w:rPr>
          <w:sz w:val="24"/>
          <w:szCs w:val="24"/>
        </w:rPr>
        <w:t xml:space="preserve"> how these funds may be utilized in support of developing and documenting the IP</w:t>
      </w:r>
      <w:r w:rsidR="006A6220">
        <w:rPr>
          <w:sz w:val="24"/>
          <w:szCs w:val="24"/>
        </w:rPr>
        <w:t>PU</w:t>
      </w:r>
      <w:r w:rsidR="00A955D0">
        <w:rPr>
          <w:sz w:val="24"/>
          <w:szCs w:val="24"/>
        </w:rPr>
        <w:t xml:space="preserve"> estimates, and</w:t>
      </w:r>
    </w:p>
    <w:p w14:paraId="57A70048" w14:textId="4BD47333" w:rsidR="00EB5FB6" w:rsidRDefault="00EB5FB6" w:rsidP="00676A53">
      <w:pPr>
        <w:pStyle w:val="ListParagraph"/>
        <w:numPr>
          <w:ilvl w:val="0"/>
          <w:numId w:val="10"/>
        </w:numPr>
        <w:spacing w:before="80" w:after="80" w:line="240" w:lineRule="exact"/>
        <w:ind w:left="450"/>
        <w:contextualSpacing w:val="0"/>
        <w:rPr>
          <w:sz w:val="24"/>
          <w:szCs w:val="24"/>
        </w:rPr>
      </w:pPr>
      <w:r>
        <w:rPr>
          <w:sz w:val="24"/>
          <w:szCs w:val="24"/>
        </w:rPr>
        <w:t xml:space="preserve">the IPCC Guidelines for </w:t>
      </w:r>
      <w:r w:rsidR="006A6220">
        <w:rPr>
          <w:sz w:val="24"/>
          <w:szCs w:val="24"/>
        </w:rPr>
        <w:t>this</w:t>
      </w:r>
      <w:r w:rsidR="007B3F8F">
        <w:rPr>
          <w:sz w:val="24"/>
          <w:szCs w:val="24"/>
        </w:rPr>
        <w:t xml:space="preserve"> </w:t>
      </w:r>
      <w:r>
        <w:rPr>
          <w:sz w:val="24"/>
          <w:szCs w:val="24"/>
        </w:rPr>
        <w:t>sector, including default methods, data sources, basic QA/QC, uncertainty assessment</w:t>
      </w:r>
      <w:r w:rsidR="00407C04">
        <w:rPr>
          <w:sz w:val="24"/>
          <w:szCs w:val="24"/>
        </w:rPr>
        <w:t>,</w:t>
      </w:r>
      <w:r>
        <w:rPr>
          <w:sz w:val="24"/>
          <w:szCs w:val="24"/>
        </w:rPr>
        <w:t xml:space="preserve"> and reporting procedures.</w:t>
      </w:r>
    </w:p>
    <w:p w14:paraId="57A70049" w14:textId="0F3160B9" w:rsidR="002F4A31" w:rsidRDefault="00DE22E3" w:rsidP="004F11DC">
      <w:pPr>
        <w:pStyle w:val="Heading2"/>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FABF8F" w:themeFill="accent6" w:themeFillTint="99"/>
        <w:spacing w:before="0" w:line="276" w:lineRule="auto"/>
      </w:pPr>
      <w:r>
        <w:rPr>
          <w:i w:val="0"/>
          <w:noProof/>
        </w:rPr>
        <mc:AlternateContent>
          <mc:Choice Requires="wps">
            <w:drawing>
              <wp:anchor distT="0" distB="0" distL="114300" distR="114300" simplePos="0" relativeHeight="251659264" behindDoc="1" locked="0" layoutInCell="1" allowOverlap="1" wp14:anchorId="57A7006B" wp14:editId="4DCA00E7">
                <wp:simplePos x="0" y="0"/>
                <wp:positionH relativeFrom="column">
                  <wp:posOffset>-76200</wp:posOffset>
                </wp:positionH>
                <wp:positionV relativeFrom="paragraph">
                  <wp:posOffset>316864</wp:posOffset>
                </wp:positionV>
                <wp:extent cx="7004050" cy="3031067"/>
                <wp:effectExtent l="0" t="0" r="25400" b="1714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0" cy="3031067"/>
                        </a:xfrm>
                        <a:prstGeom prst="rect">
                          <a:avLst/>
                        </a:prstGeom>
                        <a:gradFill>
                          <a:gsLst>
                            <a:gs pos="0">
                              <a:schemeClr val="bg1"/>
                            </a:gs>
                            <a:gs pos="100000">
                              <a:schemeClr val="accent1">
                                <a:lumMod val="60000"/>
                                <a:lumOff val="40000"/>
                              </a:schemeClr>
                            </a:gs>
                          </a:gsLst>
                          <a:path path="rect">
                            <a:fillToRect r="100000" b="100000"/>
                          </a:path>
                        </a:gradFill>
                        <a:ln w="12700" cap="flat" cmpd="sng">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7A7007F" w14:textId="77777777" w:rsidR="00E85C4D" w:rsidRDefault="00E85C4D" w:rsidP="002D013D"/>
                          <w:p w14:paraId="57A70080" w14:textId="77777777" w:rsidR="00E85C4D" w:rsidRDefault="00E85C4D" w:rsidP="002D013D"/>
                          <w:p w14:paraId="57A70081" w14:textId="77777777" w:rsidR="003C02DB" w:rsidRPr="00DA1885" w:rsidRDefault="003C02DB" w:rsidP="002D0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A7006B" id="Text Box 2" o:spid="_x0000_s1027" type="#_x0000_t202" alt="&quot;&quot;" style="position:absolute;margin-left:-6pt;margin-top:24.95pt;width:551.5pt;height:2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" fillcolor="white [3212]" strokecolor="#1f497d [3215]" strokeweight="1pt">
                <v:fill color2="#95b3d7 [1940]" focus="100%" type="gradientRadial">
                  <o:fill v:ext="view" type="gradientCenter"/>
                </v:fill>
                <v:path arrowok="t"/>
                <v:textbox>
                  <w:txbxContent>
                    <w:p w14:paraId="57A7007F" w14:textId="77777777" w:rsidR="00E85C4D" w:rsidRDefault="00E85C4D" w:rsidP="002D013D"/>
                    <w:p w14:paraId="57A70080" w14:textId="77777777" w:rsidR="00E85C4D" w:rsidRDefault="00E85C4D" w:rsidP="002D013D"/>
                    <w:p w14:paraId="57A70081" w14:textId="77777777" w:rsidR="003C02DB" w:rsidRPr="00DA1885" w:rsidRDefault="003C02DB" w:rsidP="002D013D"/>
                  </w:txbxContent>
                </v:textbox>
              </v:shape>
            </w:pict>
          </mc:Fallback>
        </mc:AlternateContent>
      </w:r>
      <w:r w:rsidR="008679E1" w:rsidRPr="002F4A31">
        <w:t xml:space="preserve"> </w:t>
      </w:r>
      <w:r w:rsidR="006A6220">
        <w:t>IPPU</w:t>
      </w:r>
      <w:r w:rsidR="00222CC1">
        <w:t xml:space="preserve"> </w:t>
      </w:r>
      <w:r w:rsidR="002D013D" w:rsidRPr="002F4A31">
        <w:t>Sector Preparatio</w:t>
      </w:r>
      <w:r w:rsidR="002F4A31">
        <w:t>n</w:t>
      </w:r>
    </w:p>
    <w:p w14:paraId="57A7004A" w14:textId="7A26AB62" w:rsidR="002D013D" w:rsidRPr="0012080A" w:rsidRDefault="00244846"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Pr>
          <w:rFonts w:cs="Palatino-Roman"/>
          <w:sz w:val="24"/>
          <w:szCs w:val="24"/>
        </w:rPr>
        <w:t>Review the</w:t>
      </w:r>
      <w:r w:rsidR="002D013D">
        <w:rPr>
          <w:rFonts w:cs="Palatino-Roman"/>
          <w:sz w:val="24"/>
          <w:szCs w:val="24"/>
        </w:rPr>
        <w:t xml:space="preserve"> </w:t>
      </w:r>
      <w:r w:rsidR="00FD7DCD">
        <w:rPr>
          <w:rFonts w:cs="Palatino-Roman"/>
          <w:sz w:val="24"/>
          <w:szCs w:val="24"/>
        </w:rPr>
        <w:t>Consultative Group of Experts’ (</w:t>
      </w:r>
      <w:r w:rsidR="00FA0F66">
        <w:rPr>
          <w:rFonts w:cs="Palatino-Roman"/>
          <w:sz w:val="24"/>
          <w:szCs w:val="24"/>
        </w:rPr>
        <w:t>CGE</w:t>
      </w:r>
      <w:r w:rsidR="00FD7DCD">
        <w:rPr>
          <w:rFonts w:cs="Palatino-Roman"/>
          <w:sz w:val="24"/>
          <w:szCs w:val="24"/>
        </w:rPr>
        <w:t>)</w:t>
      </w:r>
      <w:r w:rsidR="00E80AF8">
        <w:rPr>
          <w:rFonts w:cs="Palatino-Roman"/>
          <w:sz w:val="24"/>
          <w:szCs w:val="24"/>
        </w:rPr>
        <w:t xml:space="preserve"> </w:t>
      </w:r>
      <w:r w:rsidR="002D013D">
        <w:rPr>
          <w:rFonts w:cs="Palatino-Roman"/>
          <w:sz w:val="24"/>
          <w:szCs w:val="24"/>
        </w:rPr>
        <w:t xml:space="preserve">materials </w:t>
      </w:r>
      <w:r>
        <w:rPr>
          <w:rFonts w:cs="Palatino-Roman"/>
          <w:sz w:val="24"/>
          <w:szCs w:val="24"/>
        </w:rPr>
        <w:t xml:space="preserve">related to </w:t>
      </w:r>
      <w:r w:rsidR="00E07AC4">
        <w:rPr>
          <w:rFonts w:cs="Palatino-Roman"/>
          <w:sz w:val="24"/>
          <w:szCs w:val="24"/>
        </w:rPr>
        <w:t xml:space="preserve">the </w:t>
      </w:r>
      <w:r w:rsidR="006A6220">
        <w:rPr>
          <w:rFonts w:cs="Palatino-Roman"/>
          <w:sz w:val="24"/>
          <w:szCs w:val="24"/>
        </w:rPr>
        <w:t>IPPU</w:t>
      </w:r>
      <w:r w:rsidR="00E07AC4">
        <w:rPr>
          <w:rFonts w:cs="Palatino-Roman"/>
          <w:sz w:val="24"/>
          <w:szCs w:val="24"/>
        </w:rPr>
        <w:t xml:space="preserve"> </w:t>
      </w:r>
      <w:r>
        <w:rPr>
          <w:rFonts w:cs="Palatino-Roman"/>
          <w:sz w:val="24"/>
          <w:szCs w:val="24"/>
        </w:rPr>
        <w:t>sector</w:t>
      </w:r>
      <w:r w:rsidR="006F3F65">
        <w:rPr>
          <w:rFonts w:cs="Palatino-Roman"/>
          <w:sz w:val="24"/>
          <w:szCs w:val="24"/>
        </w:rPr>
        <w:t>.</w:t>
      </w:r>
      <w:r>
        <w:rPr>
          <w:rFonts w:cs="Palatino-Roman"/>
          <w:sz w:val="24"/>
          <w:szCs w:val="24"/>
        </w:rPr>
        <w:t xml:space="preserve"> </w:t>
      </w:r>
      <w:hyperlink r:id="rId13" w:history="1">
        <w:r w:rsidR="002D013D" w:rsidRPr="0087521A">
          <w:rPr>
            <w:rStyle w:val="Hyperlink"/>
            <w:rFonts w:cs="Palatino-Roman"/>
            <w:sz w:val="24"/>
            <w:szCs w:val="24"/>
          </w:rPr>
          <w:t>[CGE Materials</w:t>
        </w:r>
      </w:hyperlink>
      <w:r w:rsidR="002D013D">
        <w:rPr>
          <w:rFonts w:cs="Palatino-Roman"/>
          <w:sz w:val="24"/>
          <w:szCs w:val="24"/>
        </w:rPr>
        <w:t>]</w:t>
      </w:r>
      <w:r w:rsidR="002D013D">
        <w:rPr>
          <w:rStyle w:val="CommentReference"/>
        </w:rPr>
        <w:t xml:space="preserve"> </w:t>
      </w:r>
    </w:p>
    <w:p w14:paraId="57A7004B" w14:textId="16882C59" w:rsidR="00C97D67" w:rsidRPr="00C01051" w:rsidRDefault="002D013D"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sidRPr="00276DB4">
        <w:rPr>
          <w:rFonts w:cs="Palatino-Roman"/>
          <w:sz w:val="24"/>
          <w:szCs w:val="24"/>
        </w:rPr>
        <w:t xml:space="preserve">Review </w:t>
      </w:r>
      <w:r w:rsidR="00C97D67">
        <w:rPr>
          <w:rFonts w:cs="Palatino-Roman"/>
          <w:sz w:val="24"/>
          <w:szCs w:val="24"/>
        </w:rPr>
        <w:t xml:space="preserve">the </w:t>
      </w:r>
      <w:r w:rsidR="006A6220">
        <w:rPr>
          <w:rFonts w:cs="Palatino-Roman"/>
          <w:sz w:val="24"/>
          <w:szCs w:val="24"/>
        </w:rPr>
        <w:t>IPPU</w:t>
      </w:r>
      <w:r w:rsidR="00E07AC4" w:rsidRPr="00276DB4">
        <w:rPr>
          <w:rFonts w:cs="Palatino-Roman"/>
          <w:sz w:val="24"/>
          <w:szCs w:val="24"/>
        </w:rPr>
        <w:t xml:space="preserve"> </w:t>
      </w:r>
      <w:r w:rsidRPr="00276DB4">
        <w:rPr>
          <w:rFonts w:cs="Palatino-Roman"/>
          <w:sz w:val="24"/>
          <w:szCs w:val="24"/>
        </w:rPr>
        <w:t xml:space="preserve">section of the IPCC </w:t>
      </w:r>
      <w:r w:rsidR="00C97D67">
        <w:rPr>
          <w:rFonts w:cs="Palatino-Roman"/>
          <w:sz w:val="24"/>
          <w:szCs w:val="24"/>
        </w:rPr>
        <w:t xml:space="preserve">Guidelines to understand the </w:t>
      </w:r>
      <w:r w:rsidR="00C97D67" w:rsidRPr="00276DB4">
        <w:rPr>
          <w:rFonts w:cs="Palatino-Roman"/>
          <w:sz w:val="24"/>
          <w:szCs w:val="24"/>
        </w:rPr>
        <w:t xml:space="preserve">default methods, data sources, </w:t>
      </w:r>
      <w:r w:rsidR="00C97D67" w:rsidRPr="00C01051">
        <w:rPr>
          <w:rFonts w:cs="Palatino-Roman"/>
          <w:sz w:val="24"/>
          <w:szCs w:val="24"/>
        </w:rPr>
        <w:t>basic QA/QC, uncertainty assessment</w:t>
      </w:r>
      <w:r w:rsidR="006F3F65" w:rsidRPr="00C01051">
        <w:rPr>
          <w:rFonts w:cs="Palatino-Roman"/>
          <w:sz w:val="24"/>
          <w:szCs w:val="24"/>
        </w:rPr>
        <w:t>,</w:t>
      </w:r>
      <w:r w:rsidR="00C97D67" w:rsidRPr="00C01051">
        <w:rPr>
          <w:rFonts w:cs="Palatino-Roman"/>
          <w:sz w:val="24"/>
          <w:szCs w:val="24"/>
        </w:rPr>
        <w:t xml:space="preserve"> and reporting procedures. [</w:t>
      </w:r>
      <w:hyperlink r:id="rId14" w:history="1">
        <w:r w:rsidR="00532A3D" w:rsidRPr="00C01051">
          <w:rPr>
            <w:rStyle w:val="Hyperlink"/>
            <w:rFonts w:cs="Palatino-Roman"/>
            <w:sz w:val="24"/>
            <w:szCs w:val="24"/>
          </w:rPr>
          <w:t xml:space="preserve">2006 </w:t>
        </w:r>
        <w:r w:rsidR="00C97D67" w:rsidRPr="00C01051">
          <w:rPr>
            <w:rStyle w:val="Hyperlink"/>
            <w:rFonts w:cs="Palatino-Roman"/>
            <w:sz w:val="24"/>
            <w:szCs w:val="24"/>
          </w:rPr>
          <w:t xml:space="preserve">IPCC </w:t>
        </w:r>
        <w:r w:rsidR="00532A3D" w:rsidRPr="00C01051">
          <w:rPr>
            <w:rStyle w:val="Hyperlink"/>
            <w:rFonts w:cs="Palatino-Roman"/>
            <w:sz w:val="24"/>
            <w:szCs w:val="24"/>
          </w:rPr>
          <w:t>Guidelines</w:t>
        </w:r>
      </w:hyperlink>
      <w:r w:rsidR="00C97D67" w:rsidRPr="00C01051">
        <w:rPr>
          <w:rFonts w:cs="Palatino-Roman"/>
          <w:sz w:val="24"/>
          <w:szCs w:val="24"/>
        </w:rPr>
        <w:t xml:space="preserve">] </w:t>
      </w:r>
    </w:p>
    <w:p w14:paraId="57A7004C" w14:textId="77777777" w:rsidR="002D013D" w:rsidRPr="00C01051" w:rsidRDefault="00C97D67"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sidRPr="00C01051">
        <w:rPr>
          <w:rFonts w:cs="Palatino-Roman"/>
          <w:sz w:val="24"/>
          <w:szCs w:val="24"/>
        </w:rPr>
        <w:t xml:space="preserve">Review the </w:t>
      </w:r>
      <w:r w:rsidR="002D013D" w:rsidRPr="00C01051">
        <w:rPr>
          <w:rFonts w:cs="Palatino-Roman"/>
          <w:sz w:val="24"/>
          <w:szCs w:val="24"/>
        </w:rPr>
        <w:t>UNFCCC guidance materials</w:t>
      </w:r>
      <w:r w:rsidR="00D56981" w:rsidRPr="00C01051">
        <w:rPr>
          <w:rFonts w:cs="Palatino-Roman"/>
          <w:sz w:val="24"/>
          <w:szCs w:val="24"/>
        </w:rPr>
        <w:t xml:space="preserve"> </w:t>
      </w:r>
      <w:r w:rsidRPr="00C01051">
        <w:rPr>
          <w:rFonts w:cs="Palatino-Roman"/>
          <w:sz w:val="24"/>
          <w:szCs w:val="24"/>
        </w:rPr>
        <w:t xml:space="preserve">for additional information. </w:t>
      </w:r>
      <w:r w:rsidR="002D013D" w:rsidRPr="00C01051">
        <w:rPr>
          <w:rFonts w:cs="Palatino-Roman"/>
          <w:sz w:val="24"/>
          <w:szCs w:val="24"/>
        </w:rPr>
        <w:t>[</w:t>
      </w:r>
      <w:hyperlink r:id="rId15" w:history="1">
        <w:r w:rsidR="004B6B8C" w:rsidRPr="00C01051">
          <w:rPr>
            <w:rStyle w:val="Hyperlink"/>
            <w:rFonts w:cs="Palatino-Roman"/>
            <w:sz w:val="24"/>
            <w:szCs w:val="24"/>
          </w:rPr>
          <w:t>UNFCCC Guidance</w:t>
        </w:r>
      </w:hyperlink>
      <w:r w:rsidR="002D013D" w:rsidRPr="00C01051">
        <w:rPr>
          <w:rFonts w:cs="Palatino-Roman"/>
          <w:sz w:val="24"/>
          <w:szCs w:val="24"/>
        </w:rPr>
        <w:t>]</w:t>
      </w:r>
    </w:p>
    <w:p w14:paraId="57A7004D" w14:textId="38D043DE" w:rsidR="00D746A9" w:rsidRPr="00C01051" w:rsidRDefault="002D013D"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sidRPr="00C01051">
        <w:rPr>
          <w:rFonts w:cs="Palatino-Roman"/>
          <w:sz w:val="24"/>
          <w:szCs w:val="24"/>
        </w:rPr>
        <w:t xml:space="preserve">Review the </w:t>
      </w:r>
      <w:r w:rsidR="006A6220">
        <w:rPr>
          <w:rFonts w:cs="Palatino-Roman"/>
          <w:sz w:val="24"/>
          <w:szCs w:val="24"/>
        </w:rPr>
        <w:t>IPPU</w:t>
      </w:r>
      <w:r w:rsidR="00E07AC4" w:rsidRPr="00C01051">
        <w:rPr>
          <w:rFonts w:cs="Palatino-Roman"/>
          <w:sz w:val="24"/>
          <w:szCs w:val="24"/>
        </w:rPr>
        <w:t xml:space="preserve"> </w:t>
      </w:r>
      <w:r w:rsidRPr="00C01051">
        <w:rPr>
          <w:rFonts w:cs="Palatino-Roman"/>
          <w:sz w:val="24"/>
          <w:szCs w:val="24"/>
        </w:rPr>
        <w:t xml:space="preserve">section of the previous </w:t>
      </w:r>
      <w:r w:rsidR="00FD7DCD" w:rsidRPr="00C01051">
        <w:rPr>
          <w:rFonts w:cs="Palatino-Roman"/>
          <w:sz w:val="24"/>
          <w:szCs w:val="24"/>
        </w:rPr>
        <w:t xml:space="preserve">National </w:t>
      </w:r>
      <w:r w:rsidR="00F5601A" w:rsidRPr="00C01051">
        <w:rPr>
          <w:rFonts w:cs="Palatino-Roman"/>
          <w:sz w:val="24"/>
          <w:szCs w:val="24"/>
        </w:rPr>
        <w:t xml:space="preserve">GHG </w:t>
      </w:r>
      <w:r w:rsidR="00FD7DCD" w:rsidRPr="00C01051">
        <w:rPr>
          <w:rFonts w:cs="Palatino-Roman"/>
          <w:sz w:val="24"/>
          <w:szCs w:val="24"/>
        </w:rPr>
        <w:t xml:space="preserve">Inventory </w:t>
      </w:r>
      <w:r w:rsidR="00F5601A" w:rsidRPr="00C01051">
        <w:rPr>
          <w:rFonts w:cs="Palatino-Roman"/>
          <w:sz w:val="24"/>
          <w:szCs w:val="24"/>
        </w:rPr>
        <w:t>and other reports relevant to national GHG estimates for this sector.</w:t>
      </w:r>
      <w:r w:rsidR="00A955D0">
        <w:rPr>
          <w:rFonts w:cs="Palatino-Roman"/>
          <w:sz w:val="24"/>
          <w:szCs w:val="24"/>
        </w:rPr>
        <w:t xml:space="preserve"> Reviewing the </w:t>
      </w:r>
      <w:r w:rsidR="006A6220">
        <w:rPr>
          <w:rFonts w:cs="Palatino-Roman"/>
          <w:sz w:val="24"/>
          <w:szCs w:val="24"/>
        </w:rPr>
        <w:t>IPPU</w:t>
      </w:r>
      <w:r w:rsidR="00A955D0">
        <w:rPr>
          <w:rFonts w:cs="Palatino-Roman"/>
          <w:sz w:val="24"/>
          <w:szCs w:val="24"/>
        </w:rPr>
        <w:t xml:space="preserve"> section from other country’s GHG inventory reports can also be informative.</w:t>
      </w:r>
      <w:r w:rsidR="00F5601A" w:rsidRPr="00C01051">
        <w:rPr>
          <w:rFonts w:cs="Palatino-Roman"/>
          <w:sz w:val="24"/>
          <w:szCs w:val="24"/>
        </w:rPr>
        <w:t xml:space="preserve"> </w:t>
      </w:r>
    </w:p>
    <w:p w14:paraId="57A7004E" w14:textId="2E58822F" w:rsidR="002D013D" w:rsidRPr="00C01051" w:rsidRDefault="002D013D"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sidRPr="00C01051">
        <w:rPr>
          <w:rFonts w:cs="Palatino-Roman"/>
          <w:sz w:val="24"/>
          <w:szCs w:val="24"/>
        </w:rPr>
        <w:t>Understand which categories</w:t>
      </w:r>
      <w:r w:rsidR="00244846" w:rsidRPr="00C01051">
        <w:rPr>
          <w:rFonts w:cs="Palatino-Roman"/>
          <w:sz w:val="24"/>
          <w:szCs w:val="24"/>
        </w:rPr>
        <w:t xml:space="preserve"> in the </w:t>
      </w:r>
      <w:r w:rsidR="006A6220">
        <w:rPr>
          <w:rFonts w:cs="Palatino-Roman"/>
          <w:sz w:val="24"/>
          <w:szCs w:val="24"/>
        </w:rPr>
        <w:t>IPPU</w:t>
      </w:r>
      <w:r w:rsidR="00E07AC4" w:rsidRPr="00C01051">
        <w:rPr>
          <w:rFonts w:cs="Palatino-Roman"/>
          <w:sz w:val="24"/>
          <w:szCs w:val="24"/>
        </w:rPr>
        <w:t xml:space="preserve"> </w:t>
      </w:r>
      <w:r w:rsidR="00244846" w:rsidRPr="00C01051">
        <w:rPr>
          <w:rFonts w:cs="Palatino-Roman"/>
          <w:sz w:val="24"/>
          <w:szCs w:val="24"/>
        </w:rPr>
        <w:t>sector</w:t>
      </w:r>
      <w:r w:rsidRPr="00C01051">
        <w:rPr>
          <w:rFonts w:cs="Palatino-Roman"/>
          <w:sz w:val="24"/>
          <w:szCs w:val="24"/>
        </w:rPr>
        <w:t xml:space="preserve"> </w:t>
      </w:r>
      <w:r w:rsidR="00244846" w:rsidRPr="00C01051">
        <w:rPr>
          <w:rFonts w:cs="Palatino-Roman"/>
          <w:sz w:val="24"/>
          <w:szCs w:val="24"/>
        </w:rPr>
        <w:t xml:space="preserve">were identified as </w:t>
      </w:r>
      <w:r w:rsidRPr="00C01051">
        <w:rPr>
          <w:rFonts w:cs="Palatino-Roman"/>
          <w:sz w:val="24"/>
          <w:szCs w:val="24"/>
        </w:rPr>
        <w:t>key categories</w:t>
      </w:r>
      <w:r w:rsidR="00244846" w:rsidRPr="00C01051">
        <w:rPr>
          <w:rFonts w:cs="Palatino-Roman"/>
          <w:sz w:val="24"/>
          <w:szCs w:val="24"/>
        </w:rPr>
        <w:t xml:space="preserve"> in the previous inventory</w:t>
      </w:r>
      <w:r w:rsidRPr="00C01051">
        <w:rPr>
          <w:rFonts w:cs="Palatino-Roman"/>
          <w:sz w:val="24"/>
          <w:szCs w:val="24"/>
        </w:rPr>
        <w:t>.</w:t>
      </w:r>
    </w:p>
    <w:p w14:paraId="21241120" w14:textId="77777777" w:rsidR="006A6220" w:rsidRPr="004F11DC" w:rsidRDefault="006A6220"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sidRPr="004F11DC">
        <w:rPr>
          <w:rFonts w:cs="Palatino-Roman"/>
          <w:sz w:val="24"/>
          <w:szCs w:val="24"/>
        </w:rPr>
        <w:t xml:space="preserve">Review the EPA’s </w:t>
      </w:r>
      <w:r w:rsidRPr="00285B0B">
        <w:rPr>
          <w:rFonts w:cs="Palatino-Roman"/>
          <w:i/>
          <w:sz w:val="24"/>
          <w:szCs w:val="24"/>
        </w:rPr>
        <w:t>Templates for Creating</w:t>
      </w:r>
      <w:r w:rsidRPr="004F11DC">
        <w:rPr>
          <w:rFonts w:cs="Palatino-Roman"/>
          <w:i/>
          <w:sz w:val="24"/>
          <w:szCs w:val="24"/>
        </w:rPr>
        <w:t xml:space="preserve"> a National Greenhouse Gas Inventory System</w:t>
      </w:r>
      <w:r>
        <w:rPr>
          <w:rFonts w:cs="Palatino-Roman"/>
          <w:i/>
          <w:sz w:val="24"/>
          <w:szCs w:val="24"/>
        </w:rPr>
        <w:t xml:space="preserve"> Manual</w:t>
      </w:r>
      <w:r w:rsidRPr="004F11DC">
        <w:rPr>
          <w:rFonts w:cs="Palatino-Roman"/>
          <w:sz w:val="24"/>
          <w:szCs w:val="24"/>
        </w:rPr>
        <w:t xml:space="preserve"> and additional Toolkit </w:t>
      </w:r>
      <w:r>
        <w:rPr>
          <w:rFonts w:cs="Palatino-Roman"/>
          <w:sz w:val="24"/>
          <w:szCs w:val="24"/>
        </w:rPr>
        <w:t>m</w:t>
      </w:r>
      <w:r w:rsidRPr="004F11DC">
        <w:rPr>
          <w:rFonts w:cs="Palatino-Roman"/>
          <w:sz w:val="24"/>
          <w:szCs w:val="24"/>
        </w:rPr>
        <w:t>aterials available on the GHG Inventory Capacity Building portal</w:t>
      </w:r>
      <w:r>
        <w:rPr>
          <w:rFonts w:cs="Palatino-Roman"/>
          <w:sz w:val="24"/>
          <w:szCs w:val="24"/>
        </w:rPr>
        <w:t>.</w:t>
      </w:r>
      <w:r w:rsidRPr="004F11DC">
        <w:rPr>
          <w:rFonts w:cs="Palatino-Roman"/>
          <w:sz w:val="24"/>
          <w:szCs w:val="24"/>
        </w:rPr>
        <w:t xml:space="preserve"> [</w:t>
      </w:r>
      <w:hyperlink r:id="rId16" w:anchor="ghg-toolkit" w:history="1">
        <w:r>
          <w:rPr>
            <w:rStyle w:val="Hyperlink"/>
            <w:rFonts w:eastAsia="Times New Roman"/>
            <w:sz w:val="24"/>
            <w:szCs w:val="24"/>
            <w:lang w:val="en-GB" w:eastAsia="zh-CN"/>
          </w:rPr>
          <w:t>EPA Toolkit for Building National GHG Inventory Systems</w:t>
        </w:r>
      </w:hyperlink>
      <w:r w:rsidRPr="004F11DC">
        <w:rPr>
          <w:rFonts w:cs="Palatino-Roman"/>
          <w:sz w:val="24"/>
          <w:szCs w:val="24"/>
        </w:rPr>
        <w:t>]</w:t>
      </w:r>
    </w:p>
    <w:p w14:paraId="7FB1BB28" w14:textId="3535944E" w:rsidR="006A6220" w:rsidRPr="002D013D" w:rsidRDefault="006A6220"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Pr>
          <w:rFonts w:cs="Palatino-Roman"/>
          <w:sz w:val="24"/>
          <w:szCs w:val="24"/>
        </w:rPr>
        <w:t>Use software packages, if applicable, that are relevant and useful for this sector</w:t>
      </w:r>
      <w:r w:rsidRPr="003F2274">
        <w:rPr>
          <w:rFonts w:cs="Palatino-Roman"/>
          <w:sz w:val="24"/>
          <w:szCs w:val="24"/>
        </w:rPr>
        <w:t xml:space="preserve"> </w:t>
      </w:r>
      <w:r>
        <w:rPr>
          <w:rFonts w:cs="Palatino-Roman"/>
          <w:sz w:val="24"/>
          <w:szCs w:val="24"/>
        </w:rPr>
        <w:t>(</w:t>
      </w:r>
      <w:hyperlink r:id="rId17" w:history="1">
        <w:r w:rsidRPr="00D85D39">
          <w:rPr>
            <w:rStyle w:val="Hyperlink"/>
            <w:rFonts w:cs="Palatino-Roman"/>
            <w:sz w:val="24"/>
            <w:szCs w:val="24"/>
          </w:rPr>
          <w:t xml:space="preserve">IPCC </w:t>
        </w:r>
        <w:r w:rsidR="00101A0C">
          <w:rPr>
            <w:rStyle w:val="Hyperlink"/>
            <w:rFonts w:cs="Palatino-Roman"/>
            <w:sz w:val="24"/>
            <w:szCs w:val="24"/>
          </w:rPr>
          <w:t>Inventory S</w:t>
        </w:r>
        <w:r w:rsidRPr="00D85D39">
          <w:rPr>
            <w:rStyle w:val="Hyperlink"/>
            <w:rFonts w:cs="Palatino-Roman"/>
            <w:sz w:val="24"/>
            <w:szCs w:val="24"/>
          </w:rPr>
          <w:t>oftware</w:t>
        </w:r>
      </w:hyperlink>
      <w:r>
        <w:rPr>
          <w:rFonts w:cs="Palatino-Roman"/>
          <w:sz w:val="24"/>
          <w:szCs w:val="24"/>
        </w:rPr>
        <w:t xml:space="preserve"> or relevant country-specific software used in compiling previous inventories for this sector). </w:t>
      </w:r>
    </w:p>
    <w:p w14:paraId="6065F91F" w14:textId="63873F43" w:rsidR="006A6220" w:rsidRDefault="006A6220" w:rsidP="00676A53">
      <w:pPr>
        <w:numPr>
          <w:ilvl w:val="0"/>
          <w:numId w:val="13"/>
        </w:numPr>
        <w:tabs>
          <w:tab w:val="clear" w:pos="720"/>
          <w:tab w:val="num" w:pos="540"/>
        </w:tabs>
        <w:autoSpaceDE w:val="0"/>
        <w:autoSpaceDN w:val="0"/>
        <w:adjustRightInd w:val="0"/>
        <w:spacing w:before="80" w:after="80" w:line="240" w:lineRule="exact"/>
        <w:ind w:left="450"/>
        <w:rPr>
          <w:rFonts w:cs="Palatino-Roman"/>
          <w:sz w:val="24"/>
          <w:szCs w:val="24"/>
        </w:rPr>
      </w:pPr>
      <w:r>
        <w:rPr>
          <w:rFonts w:cs="Palatino-Roman"/>
          <w:sz w:val="24"/>
          <w:szCs w:val="24"/>
        </w:rPr>
        <w:t xml:space="preserve">Be familiar with the role of the GHG inventory in </w:t>
      </w:r>
      <w:r w:rsidR="00101A0C">
        <w:rPr>
          <w:rFonts w:cs="Palatino-Roman"/>
          <w:sz w:val="24"/>
          <w:szCs w:val="24"/>
        </w:rPr>
        <w:t xml:space="preserve">UNFCCC reporting processes (e.g., </w:t>
      </w:r>
      <w:r>
        <w:rPr>
          <w:rFonts w:cs="Palatino-Roman"/>
          <w:sz w:val="24"/>
          <w:szCs w:val="24"/>
        </w:rPr>
        <w:t>National Communication (NC)</w:t>
      </w:r>
      <w:r w:rsidR="00101A0C">
        <w:rPr>
          <w:rFonts w:cs="Palatino-Roman"/>
          <w:sz w:val="24"/>
          <w:szCs w:val="24"/>
        </w:rPr>
        <w:t>, etc.)</w:t>
      </w:r>
      <w:r>
        <w:rPr>
          <w:rFonts w:cs="Palatino-Roman"/>
          <w:sz w:val="24"/>
          <w:szCs w:val="24"/>
        </w:rPr>
        <w:t xml:space="preserve"> </w:t>
      </w:r>
    </w:p>
    <w:p w14:paraId="433CC77F" w14:textId="2F1616DB" w:rsidR="006266BA" w:rsidRDefault="006266BA" w:rsidP="00566138">
      <w:pPr>
        <w:autoSpaceDE w:val="0"/>
        <w:autoSpaceDN w:val="0"/>
        <w:adjustRightInd w:val="0"/>
        <w:spacing w:before="80" w:after="80" w:line="240" w:lineRule="exact"/>
        <w:rPr>
          <w:rFonts w:cs="Palatino-Roman"/>
          <w:sz w:val="24"/>
          <w:szCs w:val="24"/>
        </w:rPr>
      </w:pPr>
    </w:p>
    <w:p w14:paraId="2E57559D" w14:textId="77777777" w:rsidR="006266BA" w:rsidRPr="00C01D1D" w:rsidRDefault="006266BA" w:rsidP="006266BA">
      <w:pPr>
        <w:pStyle w:val="Heading2"/>
        <w:pBdr>
          <w:top w:val="single" w:sz="8" w:space="0" w:color="1F497D" w:themeColor="text2"/>
          <w:left w:val="single" w:sz="8" w:space="4" w:color="1F497D" w:themeColor="text2"/>
          <w:bottom w:val="single" w:sz="8" w:space="1" w:color="1F497D" w:themeColor="text2"/>
          <w:right w:val="single" w:sz="8" w:space="4" w:color="1F497D" w:themeColor="text2"/>
        </w:pBdr>
        <w:shd w:val="clear" w:color="auto" w:fill="FABF8F" w:themeFill="accent6" w:themeFillTint="99"/>
        <w:spacing w:before="120" w:line="276" w:lineRule="auto"/>
      </w:pPr>
      <w:r>
        <w:lastRenderedPageBreak/>
        <w:t xml:space="preserve">IPPU Sector </w:t>
      </w:r>
      <w:r w:rsidRPr="00C01D1D">
        <w:t>Responsibilities and Activities</w:t>
      </w:r>
    </w:p>
    <w:p w14:paraId="677C3057"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Pr>
          <w:rFonts w:cs="Palatino-Roman"/>
          <w:sz w:val="24"/>
          <w:szCs w:val="24"/>
        </w:rPr>
        <w:t xml:space="preserve">Review the </w:t>
      </w:r>
      <w:r w:rsidRPr="00067E23">
        <w:rPr>
          <w:rFonts w:cs="Palatino-Roman"/>
          <w:i/>
          <w:sz w:val="24"/>
          <w:szCs w:val="24"/>
        </w:rPr>
        <w:t>2006</w:t>
      </w:r>
      <w:r>
        <w:rPr>
          <w:rFonts w:cs="Palatino-Roman"/>
          <w:sz w:val="24"/>
          <w:szCs w:val="24"/>
        </w:rPr>
        <w:t xml:space="preserve"> </w:t>
      </w:r>
      <w:hyperlink r:id="rId18" w:history="1">
        <w:r w:rsidRPr="00A52DF5">
          <w:rPr>
            <w:rFonts w:cs="Palatino-Roman"/>
            <w:i/>
            <w:sz w:val="24"/>
            <w:szCs w:val="24"/>
          </w:rPr>
          <w:t>IPCC Guidelines</w:t>
        </w:r>
      </w:hyperlink>
      <w:r w:rsidRPr="00D328DD">
        <w:rPr>
          <w:rFonts w:cs="Palatino-Roman"/>
          <w:i/>
          <w:sz w:val="24"/>
          <w:szCs w:val="24"/>
        </w:rPr>
        <w:t xml:space="preserve"> for National Greenhouse Gas Inventories </w:t>
      </w:r>
      <w:r w:rsidRPr="002402B0">
        <w:rPr>
          <w:rFonts w:cs="Palatino-Roman"/>
          <w:sz w:val="24"/>
          <w:szCs w:val="24"/>
        </w:rPr>
        <w:t xml:space="preserve">and </w:t>
      </w:r>
      <w:r>
        <w:rPr>
          <w:rFonts w:cs="Palatino-Roman"/>
          <w:sz w:val="24"/>
          <w:szCs w:val="24"/>
        </w:rPr>
        <w:t xml:space="preserve">previous IPCC </w:t>
      </w:r>
      <w:r w:rsidRPr="00676A53">
        <w:rPr>
          <w:rFonts w:cs="Palatino-Roman"/>
          <w:sz w:val="24"/>
          <w:szCs w:val="24"/>
        </w:rPr>
        <w:t xml:space="preserve">Guidelines, if applicable, such as </w:t>
      </w:r>
      <w:r w:rsidRPr="00676A53">
        <w:rPr>
          <w:rFonts w:cs="Palatino-Roman"/>
          <w:i/>
          <w:sz w:val="24"/>
          <w:szCs w:val="24"/>
        </w:rPr>
        <w:t>Good Practice Guidance and Uncertainty Management in National Greenhouse Gas Inventories.</w:t>
      </w:r>
    </w:p>
    <w:p w14:paraId="22575E50"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Understand the GHG categories that are sources in the IPPU sector. </w:t>
      </w:r>
    </w:p>
    <w:p w14:paraId="0CC9DB56"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At minimum understand the Tier 1 methodologies, data needs, and other requirements for developing GHG estimates for the IPPU sector, and become familiar with those for Tier 2. </w:t>
      </w:r>
    </w:p>
    <w:p w14:paraId="36F03587"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 xml:space="preserve">Collaborate with the NIC to manage the IPPU sector budget and develop an IPPU sector-specific work plan and schedule that coincides with deliverables acknowledged in the overall National Inventory Schedule. </w:t>
      </w:r>
    </w:p>
    <w:p w14:paraId="38425A3B" w14:textId="377A0E6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 xml:space="preserve">Develop and implement an IPPU sector-specific plan for archiving all relevant information and materials, in coordination with the archiving coordinator and adhering to any existing archiving guidance materials for your national inventory (see EPA’s </w:t>
      </w:r>
      <w:r w:rsidRPr="00676A53">
        <w:rPr>
          <w:rFonts w:cs="Palatino-Roman"/>
          <w:sz w:val="24"/>
          <w:szCs w:val="24"/>
          <w:u w:val="single"/>
        </w:rPr>
        <w:t xml:space="preserve">Template </w:t>
      </w:r>
      <w:r w:rsidR="00101A0C">
        <w:rPr>
          <w:rFonts w:cs="Palatino-Roman"/>
          <w:sz w:val="24"/>
          <w:szCs w:val="24"/>
          <w:u w:val="single"/>
        </w:rPr>
        <w:t>6</w:t>
      </w:r>
      <w:r w:rsidRPr="00676A53">
        <w:rPr>
          <w:rFonts w:cs="Palatino-Roman"/>
          <w:sz w:val="24"/>
          <w:szCs w:val="24"/>
          <w:u w:val="single"/>
        </w:rPr>
        <w:t>: Archiving System</w:t>
      </w:r>
      <w:r w:rsidRPr="00676A53">
        <w:rPr>
          <w:rStyle w:val="Hyperlink"/>
          <w:rFonts w:eastAsia="Times New Roman"/>
          <w:color w:val="auto"/>
          <w:sz w:val="24"/>
          <w:szCs w:val="24"/>
          <w:lang w:val="en-GB" w:eastAsia="zh-CN"/>
        </w:rPr>
        <w:t>)</w:t>
      </w:r>
      <w:r w:rsidRPr="00676A53">
        <w:rPr>
          <w:rFonts w:cs="Palatino-Roman"/>
          <w:sz w:val="24"/>
          <w:szCs w:val="24"/>
        </w:rPr>
        <w:t xml:space="preserve">. </w:t>
      </w:r>
    </w:p>
    <w:p w14:paraId="648C4945" w14:textId="655046B1"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 xml:space="preserve">Oversee the establishment </w:t>
      </w:r>
      <w:r w:rsidR="00F44006">
        <w:rPr>
          <w:rFonts w:cs="Palatino-Roman"/>
          <w:sz w:val="24"/>
          <w:szCs w:val="24"/>
        </w:rPr>
        <w:t>of</w:t>
      </w:r>
      <w:r w:rsidRPr="00676A53">
        <w:rPr>
          <w:rFonts w:cs="Palatino-Roman"/>
          <w:sz w:val="24"/>
          <w:szCs w:val="24"/>
        </w:rPr>
        <w:t xml:space="preserve"> arrangements between IPPU sector data collectors and data </w:t>
      </w:r>
      <w:r w:rsidR="00F44006">
        <w:rPr>
          <w:rFonts w:cs="Palatino-Roman"/>
          <w:sz w:val="24"/>
          <w:szCs w:val="24"/>
        </w:rPr>
        <w:t>suppliers</w:t>
      </w:r>
      <w:r w:rsidRPr="00676A53">
        <w:rPr>
          <w:rFonts w:cs="Palatino-Roman"/>
          <w:sz w:val="24"/>
          <w:szCs w:val="24"/>
        </w:rPr>
        <w:t xml:space="preserve">. </w:t>
      </w:r>
    </w:p>
    <w:p w14:paraId="74E3D2FA"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Collaborate with the NIC to record the institutional arrangements for the IPPU sector in EPA’s </w:t>
      </w:r>
      <w:r w:rsidRPr="00676A53">
        <w:rPr>
          <w:rFonts w:eastAsia="Times New Roman"/>
          <w:sz w:val="24"/>
          <w:szCs w:val="24"/>
          <w:u w:val="single"/>
          <w:lang w:val="en-GB" w:eastAsia="zh-CN"/>
        </w:rPr>
        <w:t>Template 2: Institutional Arrangements</w:t>
      </w:r>
      <w:r w:rsidRPr="00676A53">
        <w:rPr>
          <w:rFonts w:eastAsia="Times New Roman"/>
          <w:sz w:val="24"/>
          <w:szCs w:val="24"/>
          <w:lang w:val="en-GB" w:eastAsia="zh-CN"/>
        </w:rPr>
        <w:t xml:space="preserve">. </w:t>
      </w:r>
    </w:p>
    <w:p w14:paraId="6321A4C6"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If required, develop agreements such as Memoranda of Cooperation (MOC) with necessary organizations (e.g., Ministry of Industry, Department of Mines and Geology, universities) to assist with activities required by the IPPU Sector Lead (e.g. data collection, generating GHG estimates, management/handling of confidential information), as appropriate (see EPA’s </w:t>
      </w:r>
      <w:r w:rsidRPr="00676A53">
        <w:rPr>
          <w:rFonts w:cs="Palatino-Roman"/>
          <w:sz w:val="24"/>
          <w:szCs w:val="24"/>
          <w:u w:val="single"/>
        </w:rPr>
        <w:t>Memorandum of Cooperation</w:t>
      </w:r>
      <w:r w:rsidRPr="00676A53">
        <w:rPr>
          <w:rFonts w:cs="Palatino-Roman"/>
          <w:sz w:val="24"/>
          <w:szCs w:val="24"/>
        </w:rPr>
        <w:t xml:space="preserve"> template</w:t>
      </w:r>
      <w:r w:rsidRPr="00676A53">
        <w:rPr>
          <w:rStyle w:val="Hyperlink"/>
          <w:rFonts w:eastAsia="Times New Roman"/>
          <w:color w:val="auto"/>
          <w:sz w:val="24"/>
          <w:szCs w:val="24"/>
          <w:u w:val="none"/>
          <w:lang w:val="en-GB" w:eastAsia="zh-CN"/>
        </w:rPr>
        <w:t>)</w:t>
      </w:r>
      <w:r w:rsidRPr="00676A53">
        <w:rPr>
          <w:rFonts w:cs="Palatino-Roman"/>
          <w:sz w:val="24"/>
          <w:szCs w:val="24"/>
        </w:rPr>
        <w:t xml:space="preserve">. </w:t>
      </w:r>
    </w:p>
    <w:p w14:paraId="1CBB25C2"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Develop </w:t>
      </w:r>
      <w:r>
        <w:rPr>
          <w:rFonts w:cs="Palatino-Roman"/>
          <w:sz w:val="24"/>
          <w:szCs w:val="24"/>
        </w:rPr>
        <w:t>Scopes</w:t>
      </w:r>
      <w:r w:rsidRPr="00676A53">
        <w:rPr>
          <w:rFonts w:cs="Palatino-Roman"/>
          <w:sz w:val="24"/>
          <w:szCs w:val="24"/>
        </w:rPr>
        <w:t xml:space="preserve"> of Work (SOW) to issue to engage contractors, and/or sector experts. Manage the work being carried out under these contracts to ensure it is meeting the requirements and needs of your GHG inventory sector (see EPA’s </w:t>
      </w:r>
      <w:r w:rsidRPr="00676A53">
        <w:rPr>
          <w:rFonts w:cs="Palatino-Roman"/>
          <w:sz w:val="24"/>
          <w:szCs w:val="24"/>
          <w:u w:val="single"/>
        </w:rPr>
        <w:t>Scope of Work</w:t>
      </w:r>
      <w:r w:rsidRPr="00676A53">
        <w:rPr>
          <w:rFonts w:cs="Palatino-Roman"/>
          <w:sz w:val="24"/>
          <w:szCs w:val="24"/>
        </w:rPr>
        <w:t xml:space="preserve"> template</w:t>
      </w:r>
      <w:r w:rsidRPr="00676A53">
        <w:rPr>
          <w:rStyle w:val="Hyperlink"/>
          <w:rFonts w:eastAsia="Times New Roman"/>
          <w:color w:val="auto"/>
          <w:sz w:val="24"/>
          <w:szCs w:val="24"/>
          <w:u w:val="none"/>
          <w:lang w:val="en-GB" w:eastAsia="zh-CN"/>
        </w:rPr>
        <w:t>)</w:t>
      </w:r>
      <w:r w:rsidRPr="00676A53">
        <w:rPr>
          <w:rFonts w:cs="Palatino-Roman"/>
          <w:sz w:val="24"/>
          <w:szCs w:val="24"/>
        </w:rPr>
        <w:t>.</w:t>
      </w:r>
    </w:p>
    <w:p w14:paraId="52A4578C"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If IPPU data are not publically available or reported to the government, identify data providers for each industry (e.g. trade associations, private companies, etc.)</w:t>
      </w:r>
    </w:p>
    <w:p w14:paraId="05BF680F"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 xml:space="preserve">Coordinate with the Energy Sector Lead to determine if there will need to be any adjustments made to either sector in cases where GHG estimates might overlap (e.g. iron and steel production, ammonia, etc.). </w:t>
      </w:r>
    </w:p>
    <w:p w14:paraId="1B07C4E5"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 xml:space="preserve">Consider potential improvements identified in the previous inventory for this sector. Assess whether to implement improvements based on the contribution to overall national emissions (by conducting a Key Category Analysis) and availability of resources (see EPA’s </w:t>
      </w:r>
      <w:r w:rsidRPr="00676A53">
        <w:rPr>
          <w:rFonts w:cs="Palatino-Roman"/>
          <w:sz w:val="24"/>
          <w:szCs w:val="24"/>
          <w:u w:val="single"/>
        </w:rPr>
        <w:t>Key Category Analysis</w:t>
      </w:r>
      <w:r w:rsidRPr="00676A53">
        <w:rPr>
          <w:rFonts w:cs="Palatino-Roman"/>
          <w:sz w:val="24"/>
          <w:szCs w:val="24"/>
        </w:rPr>
        <w:t xml:space="preserve"> tool and its accompanying document, </w:t>
      </w:r>
      <w:r w:rsidRPr="00676A53">
        <w:rPr>
          <w:rFonts w:cs="Palatino-Roman"/>
          <w:sz w:val="24"/>
          <w:szCs w:val="24"/>
          <w:u w:val="single"/>
        </w:rPr>
        <w:t>Template 5: Key Category Analysis</w:t>
      </w:r>
      <w:r w:rsidRPr="00676A53">
        <w:rPr>
          <w:rStyle w:val="Hyperlink"/>
          <w:rFonts w:eastAsia="Times New Roman"/>
          <w:color w:val="auto"/>
          <w:sz w:val="24"/>
          <w:szCs w:val="24"/>
          <w:u w:val="none"/>
          <w:lang w:val="en-GB" w:eastAsia="zh-CN"/>
        </w:rPr>
        <w:t>)</w:t>
      </w:r>
      <w:r w:rsidRPr="00676A53">
        <w:rPr>
          <w:rFonts w:cs="Palatino-Roman"/>
          <w:sz w:val="24"/>
          <w:szCs w:val="24"/>
        </w:rPr>
        <w:t xml:space="preserve">. </w:t>
      </w:r>
    </w:p>
    <w:p w14:paraId="14193692" w14:textId="77777777" w:rsidR="006266BA" w:rsidRPr="00676A53" w:rsidRDefault="006266BA" w:rsidP="006266BA">
      <w:pPr>
        <w:numPr>
          <w:ilvl w:val="0"/>
          <w:numId w:val="8"/>
        </w:numPr>
        <w:tabs>
          <w:tab w:val="num" w:pos="720"/>
        </w:tabs>
        <w:autoSpaceDE w:val="0"/>
        <w:autoSpaceDN w:val="0"/>
        <w:adjustRightInd w:val="0"/>
        <w:spacing w:before="60" w:after="60"/>
        <w:ind w:left="720"/>
        <w:rPr>
          <w:rFonts w:cs="Palatino-Roman"/>
          <w:sz w:val="24"/>
          <w:szCs w:val="24"/>
        </w:rPr>
      </w:pPr>
      <w:r w:rsidRPr="00676A53">
        <w:rPr>
          <w:rFonts w:cs="Palatino-Roman"/>
          <w:sz w:val="24"/>
          <w:szCs w:val="24"/>
        </w:rPr>
        <w:t>Oversee development of GHG estimates from all categories in the IPPU sector.</w:t>
      </w:r>
    </w:p>
    <w:p w14:paraId="264F4D6A"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Determine the most appropriate IPCC methodology to be used to estimate GHGs for each category in accordance with decision trees. </w:t>
      </w:r>
    </w:p>
    <w:p w14:paraId="4B59B532"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Oversee choice and/or development of emission factors. </w:t>
      </w:r>
    </w:p>
    <w:p w14:paraId="4B892943"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Document all data collection arrangements, methodologies, and assumptions, including use of expert judgment.</w:t>
      </w:r>
    </w:p>
    <w:p w14:paraId="6800D0F8"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Complete the relevant tables in EPA’s </w:t>
      </w:r>
      <w:r w:rsidRPr="00676A53">
        <w:rPr>
          <w:rFonts w:cs="Palatino-Roman"/>
          <w:sz w:val="24"/>
          <w:szCs w:val="24"/>
          <w:u w:val="single"/>
        </w:rPr>
        <w:t>Template 3: Methods and Data Documentation</w:t>
      </w:r>
      <w:r w:rsidRPr="00676A53">
        <w:rPr>
          <w:rStyle w:val="Hyperlink"/>
          <w:rFonts w:eastAsia="Times New Roman"/>
          <w:color w:val="auto"/>
          <w:sz w:val="24"/>
          <w:szCs w:val="24"/>
          <w:u w:val="none"/>
          <w:lang w:val="en-GB" w:eastAsia="zh-CN"/>
        </w:rPr>
        <w:t>.</w:t>
      </w:r>
    </w:p>
    <w:p w14:paraId="025DADF0"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 xml:space="preserve">In consultation with the QA/QC coordinator (who should be identified in EPA’s </w:t>
      </w:r>
      <w:r w:rsidRPr="00676A53">
        <w:rPr>
          <w:rFonts w:eastAsia="Times New Roman"/>
          <w:sz w:val="24"/>
          <w:szCs w:val="24"/>
          <w:u w:val="single"/>
          <w:lang w:val="en-GB" w:eastAsia="zh-CN"/>
        </w:rPr>
        <w:t>Template 2: Institutional Arrangements</w:t>
      </w:r>
      <w:r w:rsidRPr="00676A53">
        <w:rPr>
          <w:rFonts w:cs="Palatino-Roman"/>
          <w:sz w:val="24"/>
          <w:szCs w:val="24"/>
        </w:rPr>
        <w:t>), convene IPPU sector working group to review calculations and perform initial Quality Assurance/Quality Control (QA/QC).</w:t>
      </w:r>
    </w:p>
    <w:p w14:paraId="5EE67C9E"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lastRenderedPageBreak/>
        <w:t>QA includes review procedures conducted by personnel not involved in the inventory development process (e.g., experts not involved with estimate development, the public, other relevant agencies, non-governmental organizations, universities, etc.).</w:t>
      </w:r>
    </w:p>
    <w:p w14:paraId="4B47AE97"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QC includes routine reviews implemented by the inventory development team to measure and control the quality of the inventory as it is prepared (e.g., sector leads and supporting experts involved with estimate development). </w:t>
      </w:r>
    </w:p>
    <w:p w14:paraId="1801A4A2" w14:textId="77777777" w:rsidR="006266BA" w:rsidRPr="00676A53" w:rsidRDefault="006266BA" w:rsidP="006266BA">
      <w:pPr>
        <w:numPr>
          <w:ilvl w:val="1"/>
          <w:numId w:val="8"/>
        </w:numPr>
        <w:tabs>
          <w:tab w:val="clear" w:pos="2160"/>
          <w:tab w:val="num" w:pos="1440"/>
        </w:tabs>
        <w:autoSpaceDE w:val="0"/>
        <w:autoSpaceDN w:val="0"/>
        <w:adjustRightInd w:val="0"/>
        <w:spacing w:before="120" w:after="120" w:line="240" w:lineRule="exact"/>
        <w:ind w:left="1440"/>
        <w:rPr>
          <w:rFonts w:cs="Palatino-Roman"/>
          <w:sz w:val="24"/>
          <w:szCs w:val="24"/>
        </w:rPr>
      </w:pPr>
      <w:r w:rsidRPr="00676A53">
        <w:rPr>
          <w:rFonts w:cs="Palatino-Roman"/>
          <w:sz w:val="24"/>
          <w:szCs w:val="24"/>
        </w:rPr>
        <w:t xml:space="preserve">Ensure that QA/QC procedures are consistent with the general and sector-specific procedures described in EPA’s </w:t>
      </w:r>
      <w:r w:rsidRPr="00676A53">
        <w:rPr>
          <w:rFonts w:cs="Palatino-Roman"/>
          <w:sz w:val="24"/>
          <w:szCs w:val="24"/>
          <w:u w:val="single"/>
        </w:rPr>
        <w:t>Template 4: QA/QC</w:t>
      </w:r>
      <w:r w:rsidRPr="00676A53">
        <w:rPr>
          <w:rFonts w:cs="Palatino-Roman"/>
          <w:sz w:val="24"/>
          <w:szCs w:val="24"/>
        </w:rPr>
        <w:t>, which you should be able obtain from the NIC.</w:t>
      </w:r>
    </w:p>
    <w:p w14:paraId="1215A329"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Coordinate the response to comments received from QA (external) reviews of the IPPU sector GHG estimates and update the inventory if necessary.</w:t>
      </w:r>
    </w:p>
    <w:p w14:paraId="63211A3C"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Review the final IPPU sector GHG estimates and the narrative describing the assumptions, methodologies, and results.</w:t>
      </w:r>
    </w:p>
    <w:p w14:paraId="07F84E6F" w14:textId="77777777" w:rsidR="006266BA" w:rsidRPr="00676A53" w:rsidRDefault="006266BA" w:rsidP="006266BA">
      <w:pPr>
        <w:numPr>
          <w:ilvl w:val="0"/>
          <w:numId w:val="8"/>
        </w:numPr>
        <w:tabs>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Oversee the development of the uncertainty analysis for the IPPU sector.</w:t>
      </w:r>
    </w:p>
    <w:p w14:paraId="20C62822" w14:textId="5B25C5A0" w:rsidR="006266BA" w:rsidRDefault="006266BA" w:rsidP="00566138">
      <w:pPr>
        <w:numPr>
          <w:ilvl w:val="0"/>
          <w:numId w:val="8"/>
        </w:numPr>
        <w:tabs>
          <w:tab w:val="clear" w:pos="810"/>
          <w:tab w:val="num" w:pos="720"/>
        </w:tabs>
        <w:autoSpaceDE w:val="0"/>
        <w:autoSpaceDN w:val="0"/>
        <w:adjustRightInd w:val="0"/>
        <w:spacing w:before="120" w:after="120" w:line="240" w:lineRule="exact"/>
        <w:ind w:left="720"/>
        <w:rPr>
          <w:rFonts w:cs="Palatino-Roman"/>
          <w:sz w:val="24"/>
          <w:szCs w:val="24"/>
        </w:rPr>
      </w:pPr>
      <w:r w:rsidRPr="00676A53">
        <w:rPr>
          <w:rFonts w:cs="Palatino-Roman"/>
          <w:sz w:val="24"/>
          <w:szCs w:val="24"/>
        </w:rPr>
        <w:t xml:space="preserve">Identify any improvements needed for subsequent inventories, related to activity data, emission factors, methodologies, or other components of developing the estimates. Document these improvements in the relevant tables in EPA’s </w:t>
      </w:r>
      <w:r w:rsidRPr="00676A53">
        <w:rPr>
          <w:rFonts w:cs="Palatino-Roman"/>
          <w:sz w:val="24"/>
          <w:szCs w:val="24"/>
          <w:u w:val="single"/>
        </w:rPr>
        <w:t>Template 3: Methods and Data Documentation</w:t>
      </w:r>
      <w:r w:rsidRPr="00676A53">
        <w:rPr>
          <w:rFonts w:cs="Palatino-Roman"/>
          <w:sz w:val="24"/>
          <w:szCs w:val="24"/>
        </w:rPr>
        <w:t>, and discuss them with the NIC for prioritization in the overall inventory improvement plan (</w:t>
      </w:r>
      <w:r w:rsidRPr="00676A53">
        <w:rPr>
          <w:rFonts w:cs="Palatino-Roman"/>
          <w:sz w:val="24"/>
          <w:szCs w:val="24"/>
          <w:u w:val="single"/>
        </w:rPr>
        <w:t>Template 7: National Inventory Improvement Plan</w:t>
      </w:r>
      <w:r w:rsidRPr="00676A53">
        <w:rPr>
          <w:rFonts w:cs="Palatino-Roman"/>
          <w:sz w:val="24"/>
          <w:szCs w:val="24"/>
        </w:rPr>
        <w:t>)</w:t>
      </w:r>
    </w:p>
    <w:p w14:paraId="10A202B6" w14:textId="77777777" w:rsidR="00D01418" w:rsidRDefault="00D01418" w:rsidP="00566138">
      <w:pPr>
        <w:autoSpaceDE w:val="0"/>
        <w:autoSpaceDN w:val="0"/>
        <w:adjustRightInd w:val="0"/>
        <w:spacing w:before="120" w:after="120" w:line="240" w:lineRule="exact"/>
        <w:rPr>
          <w:rFonts w:cs="Palatino-Roman"/>
          <w:sz w:val="24"/>
          <w:szCs w:val="24"/>
        </w:rPr>
      </w:pPr>
    </w:p>
    <w:p w14:paraId="324EB551" w14:textId="77777777" w:rsidR="00D01418" w:rsidRDefault="00D01418" w:rsidP="00566138">
      <w:pPr>
        <w:autoSpaceDE w:val="0"/>
        <w:autoSpaceDN w:val="0"/>
        <w:adjustRightInd w:val="0"/>
        <w:spacing w:before="120" w:after="120" w:line="240" w:lineRule="exact"/>
        <w:rPr>
          <w:rFonts w:cs="Palatino-Roman"/>
          <w:sz w:val="24"/>
          <w:szCs w:val="24"/>
        </w:rPr>
      </w:pPr>
    </w:p>
    <w:p w14:paraId="108EBCEB" w14:textId="77777777" w:rsidR="00D01418" w:rsidRDefault="00D01418" w:rsidP="00566138">
      <w:pPr>
        <w:autoSpaceDE w:val="0"/>
        <w:autoSpaceDN w:val="0"/>
        <w:adjustRightInd w:val="0"/>
        <w:spacing w:before="120" w:after="120" w:line="240" w:lineRule="exact"/>
        <w:rPr>
          <w:rFonts w:cs="Palatino-Roman"/>
          <w:sz w:val="24"/>
          <w:szCs w:val="24"/>
        </w:rPr>
      </w:pPr>
    </w:p>
    <w:p w14:paraId="4EF24AB4" w14:textId="77777777" w:rsidR="00D01418" w:rsidRDefault="00D01418" w:rsidP="00566138">
      <w:pPr>
        <w:autoSpaceDE w:val="0"/>
        <w:autoSpaceDN w:val="0"/>
        <w:adjustRightInd w:val="0"/>
        <w:spacing w:before="120" w:after="120" w:line="240" w:lineRule="exact"/>
        <w:rPr>
          <w:rFonts w:cs="Palatino-Roman"/>
          <w:sz w:val="24"/>
          <w:szCs w:val="24"/>
        </w:rPr>
      </w:pPr>
    </w:p>
    <w:p w14:paraId="4028B23C" w14:textId="77777777" w:rsidR="00D01418" w:rsidRDefault="00D01418" w:rsidP="00566138">
      <w:pPr>
        <w:autoSpaceDE w:val="0"/>
        <w:autoSpaceDN w:val="0"/>
        <w:adjustRightInd w:val="0"/>
        <w:spacing w:before="120" w:after="120" w:line="240" w:lineRule="exact"/>
        <w:rPr>
          <w:rFonts w:cs="Palatino-Roman"/>
          <w:sz w:val="24"/>
          <w:szCs w:val="24"/>
        </w:rPr>
      </w:pPr>
    </w:p>
    <w:p w14:paraId="744A6F47" w14:textId="77777777" w:rsidR="00D01418" w:rsidRDefault="00D01418" w:rsidP="00566138">
      <w:pPr>
        <w:autoSpaceDE w:val="0"/>
        <w:autoSpaceDN w:val="0"/>
        <w:adjustRightInd w:val="0"/>
        <w:spacing w:before="120" w:after="120" w:line="240" w:lineRule="exact"/>
        <w:rPr>
          <w:rFonts w:cs="Palatino-Roman"/>
          <w:sz w:val="24"/>
          <w:szCs w:val="24"/>
        </w:rPr>
      </w:pPr>
    </w:p>
    <w:p w14:paraId="57A70068" w14:textId="0766ACAB" w:rsidR="00842C4F" w:rsidRPr="00676A53" w:rsidRDefault="00842C4F" w:rsidP="00566138">
      <w:pPr>
        <w:rPr>
          <w:rFonts w:cs="Palatino-Roman"/>
          <w:sz w:val="24"/>
          <w:szCs w:val="24"/>
        </w:rPr>
      </w:pPr>
    </w:p>
    <w:sectPr w:rsidR="00842C4F" w:rsidRPr="00676A53" w:rsidSect="00566138">
      <w:headerReference w:type="default" r:id="rId19"/>
      <w:footerReference w:type="default" r:id="rId20"/>
      <w:pgSz w:w="12240" w:h="15840"/>
      <w:pgMar w:top="360" w:right="720" w:bottom="360" w:left="720" w:header="432" w:footer="720" w:gutter="0"/>
      <w:pgBorders w:offsetFrom="page">
        <w:top w:val="thinThickSmallGap" w:sz="24" w:space="24" w:color="1F497D" w:themeColor="text2"/>
        <w:left w:val="thinThickSmallGap" w:sz="24" w:space="24" w:color="1F497D" w:themeColor="text2"/>
        <w:bottom w:val="thinThickSmallGap" w:sz="24" w:space="24" w:color="1F497D" w:themeColor="text2"/>
        <w:right w:val="thinThickSmall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0236" w14:textId="77777777" w:rsidR="007555E8" w:rsidRDefault="007555E8" w:rsidP="00664A8D">
      <w:r>
        <w:separator/>
      </w:r>
    </w:p>
  </w:endnote>
  <w:endnote w:type="continuationSeparator" w:id="0">
    <w:p w14:paraId="55F3DB85" w14:textId="77777777" w:rsidR="007555E8" w:rsidRDefault="007555E8" w:rsidP="0066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CDE" w14:textId="353C4C57" w:rsidR="00D01418" w:rsidRDefault="00D0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5BE20" w14:textId="77777777" w:rsidR="007555E8" w:rsidRDefault="007555E8" w:rsidP="00664A8D">
      <w:r>
        <w:separator/>
      </w:r>
    </w:p>
  </w:footnote>
  <w:footnote w:type="continuationSeparator" w:id="0">
    <w:p w14:paraId="6504EA4D" w14:textId="77777777" w:rsidR="007555E8" w:rsidRDefault="007555E8" w:rsidP="0066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8BB0" w14:textId="77777777" w:rsidR="00BE2C8B" w:rsidRDefault="00BE2C8B"/>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4302"/>
      <w:gridCol w:w="630"/>
    </w:tblGrid>
    <w:tr w:rsidR="00BE2C8B" w14:paraId="32C2633D" w14:textId="77777777" w:rsidTr="00566138">
      <w:tc>
        <w:tcPr>
          <w:tcW w:w="5958" w:type="dxa"/>
          <w:vAlign w:val="center"/>
        </w:tcPr>
        <w:p w14:paraId="4F5D4E6F" w14:textId="77777777" w:rsidR="00BE2C8B" w:rsidRPr="006F3F65" w:rsidRDefault="00BE2C8B" w:rsidP="00BE2C8B">
          <w:pPr>
            <w:pStyle w:val="Header"/>
            <w:rPr>
              <w:rStyle w:val="BookTitle"/>
            </w:rPr>
          </w:pPr>
          <w:r w:rsidRPr="00927610">
            <w:rPr>
              <w:rStyle w:val="BookTitle"/>
            </w:rPr>
            <w:t>EPA</w:t>
          </w:r>
          <w:r w:rsidRPr="00DE3DBC">
            <w:rPr>
              <w:rStyle w:val="BookTitle"/>
            </w:rPr>
            <w:t xml:space="preserve"> </w:t>
          </w:r>
          <w:r>
            <w:rPr>
              <w:rStyle w:val="BookTitle"/>
            </w:rPr>
            <w:t xml:space="preserve">Toolkit for Building </w:t>
          </w:r>
          <w:r w:rsidRPr="00DE3DBC">
            <w:rPr>
              <w:rStyle w:val="BookTitle"/>
            </w:rPr>
            <w:t xml:space="preserve">National GHG </w:t>
          </w:r>
          <w:r w:rsidRPr="00927610">
            <w:rPr>
              <w:rStyle w:val="BookTitle"/>
            </w:rPr>
            <w:t>I</w:t>
          </w:r>
          <w:r w:rsidRPr="00DE3DBC">
            <w:rPr>
              <w:rStyle w:val="BookTitle"/>
            </w:rPr>
            <w:t xml:space="preserve">nventory </w:t>
          </w:r>
          <w:r>
            <w:rPr>
              <w:rStyle w:val="BookTitle"/>
            </w:rPr>
            <w:t>Systems</w:t>
          </w:r>
        </w:p>
      </w:tc>
      <w:tc>
        <w:tcPr>
          <w:tcW w:w="4302" w:type="dxa"/>
          <w:vAlign w:val="center"/>
        </w:tcPr>
        <w:p w14:paraId="4996E725" w14:textId="77777777" w:rsidR="00BE2C8B" w:rsidRPr="00664A8D" w:rsidRDefault="00BE2C8B" w:rsidP="00BE2C8B">
          <w:pPr>
            <w:pStyle w:val="Header"/>
            <w:jc w:val="right"/>
            <w:rPr>
              <w:rStyle w:val="BookTitle"/>
            </w:rPr>
          </w:pPr>
          <w:r w:rsidRPr="00D56981">
            <w:rPr>
              <w:rStyle w:val="BookTitle"/>
              <w:sz w:val="24"/>
              <w:szCs w:val="24"/>
            </w:rPr>
            <w:t>I</w:t>
          </w:r>
          <w:r w:rsidRPr="00664A8D">
            <w:rPr>
              <w:rStyle w:val="BookTitle"/>
            </w:rPr>
            <w:t xml:space="preserve">nstitutional </w:t>
          </w:r>
          <w:r w:rsidRPr="00D56981">
            <w:rPr>
              <w:rStyle w:val="BookTitle"/>
              <w:sz w:val="24"/>
              <w:szCs w:val="24"/>
            </w:rPr>
            <w:t>A</w:t>
          </w:r>
          <w:r w:rsidRPr="00664A8D">
            <w:rPr>
              <w:rStyle w:val="BookTitle"/>
            </w:rPr>
            <w:t>rrangements</w:t>
          </w:r>
        </w:p>
      </w:tc>
      <w:tc>
        <w:tcPr>
          <w:tcW w:w="630" w:type="dxa"/>
          <w:vAlign w:val="center"/>
        </w:tcPr>
        <w:p w14:paraId="3D2E42B8" w14:textId="77777777" w:rsidR="00BE2C8B" w:rsidRDefault="00BE2C8B" w:rsidP="00BE2C8B">
          <w:pPr>
            <w:pStyle w:val="Header"/>
            <w:jc w:val="right"/>
          </w:pPr>
          <w:r>
            <w:rPr>
              <w:noProof/>
            </w:rPr>
            <w:drawing>
              <wp:inline distT="0" distB="0" distL="0" distR="0" wp14:anchorId="6665DF31" wp14:editId="0E5AD5D5">
                <wp:extent cx="297712" cy="388184"/>
                <wp:effectExtent l="0" t="0" r="762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820" cy="388325"/>
                        </a:xfrm>
                        <a:prstGeom prst="rect">
                          <a:avLst/>
                        </a:prstGeom>
                        <a:noFill/>
                        <a:ln>
                          <a:noFill/>
                        </a:ln>
                      </pic:spPr>
                    </pic:pic>
                  </a:graphicData>
                </a:graphic>
              </wp:inline>
            </w:drawing>
          </w:r>
        </w:p>
      </w:tc>
    </w:tr>
  </w:tbl>
  <w:p w14:paraId="57A70077" w14:textId="58D349FC" w:rsidR="00E07AC4" w:rsidRDefault="00E07AC4" w:rsidP="006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A41F"/>
      </v:shape>
    </w:pict>
  </w:numPicBullet>
  <w:abstractNum w:abstractNumId="0" w15:restartNumberingAfterBreak="0">
    <w:nsid w:val="01B65C5C"/>
    <w:multiLevelType w:val="hybridMultilevel"/>
    <w:tmpl w:val="119E5C18"/>
    <w:lvl w:ilvl="0" w:tplc="04090007">
      <w:start w:val="1"/>
      <w:numFmt w:val="bullet"/>
      <w:lvlText w:val=""/>
      <w:lvlPicBulletId w:val="0"/>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2884"/>
    <w:multiLevelType w:val="hybridMultilevel"/>
    <w:tmpl w:val="0BF4FD68"/>
    <w:lvl w:ilvl="0" w:tplc="7B0E541C">
      <w:start w:val="1"/>
      <w:numFmt w:val="bullet"/>
      <w:lvlText w:val="P"/>
      <w:lvlJc w:val="left"/>
      <w:pPr>
        <w:tabs>
          <w:tab w:val="num" w:pos="720"/>
        </w:tabs>
        <w:ind w:left="720" w:hanging="360"/>
      </w:pPr>
      <w:rPr>
        <w:rFonts w:ascii="Wingdings 2" w:hAnsi="Wingdings 2" w:hint="default"/>
        <w:b/>
        <w:i w:val="0"/>
        <w:caps w:val="0"/>
        <w:strike w:val="0"/>
        <w:dstrike w:val="0"/>
        <w:vanish w:val="0"/>
        <w:color w:val="548DD4" w:themeColor="text2" w:themeTint="99"/>
        <w:vertAlign w:val="baseline"/>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067D8C"/>
    <w:multiLevelType w:val="hybridMultilevel"/>
    <w:tmpl w:val="5DA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44EB"/>
    <w:multiLevelType w:val="hybridMultilevel"/>
    <w:tmpl w:val="39E8FDEC"/>
    <w:lvl w:ilvl="0" w:tplc="04090001">
      <w:start w:val="1"/>
      <w:numFmt w:val="bullet"/>
      <w:lvlText w:val=""/>
      <w:lvlJc w:val="left"/>
      <w:pPr>
        <w:tabs>
          <w:tab w:val="num" w:pos="720"/>
        </w:tabs>
        <w:ind w:left="720" w:hanging="360"/>
      </w:pPr>
      <w:rPr>
        <w:rFonts w:ascii="Symbol" w:hAnsi="Symbol" w:hint="default"/>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4D1F55"/>
    <w:multiLevelType w:val="hybridMultilevel"/>
    <w:tmpl w:val="64BA97CC"/>
    <w:lvl w:ilvl="0" w:tplc="69660DE0">
      <w:start w:val="1"/>
      <w:numFmt w:val="bullet"/>
      <w:lvlText w:val="P"/>
      <w:lvlJc w:val="left"/>
      <w:pPr>
        <w:tabs>
          <w:tab w:val="num" w:pos="720"/>
        </w:tabs>
        <w:ind w:left="720" w:hanging="360"/>
      </w:pPr>
      <w:rPr>
        <w:rFonts w:ascii="Wingdings 2" w:hAnsi="Wingdings 2" w:hint="default"/>
        <w:b/>
        <w:i w:val="0"/>
        <w:caps w:val="0"/>
        <w:strike w:val="0"/>
        <w:dstrike w:val="0"/>
        <w:vanish w:val="0"/>
        <w:color w:val="1F497D" w:themeColor="text2"/>
        <w:vertAlign w:val="baseline"/>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F61D2D"/>
    <w:multiLevelType w:val="hybridMultilevel"/>
    <w:tmpl w:val="1B2851B2"/>
    <w:lvl w:ilvl="0" w:tplc="EE2A4BCC">
      <w:start w:val="1"/>
      <w:numFmt w:val="bullet"/>
      <w:lvlText w:val="P"/>
      <w:lvlJc w:val="left"/>
      <w:pPr>
        <w:tabs>
          <w:tab w:val="num" w:pos="720"/>
        </w:tabs>
        <w:ind w:left="720" w:hanging="360"/>
      </w:pPr>
      <w:rPr>
        <w:rFonts w:ascii="Wingdings 2" w:hAnsi="Wingdings 2" w:hint="default"/>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F82016"/>
    <w:multiLevelType w:val="hybridMultilevel"/>
    <w:tmpl w:val="2A6CC292"/>
    <w:lvl w:ilvl="0" w:tplc="69660DE0">
      <w:start w:val="1"/>
      <w:numFmt w:val="bullet"/>
      <w:lvlText w:val="P"/>
      <w:lvlJc w:val="left"/>
      <w:pPr>
        <w:ind w:left="1440" w:hanging="360"/>
      </w:pPr>
      <w:rPr>
        <w:rFonts w:ascii="Wingdings 2" w:hAnsi="Wingdings 2" w:hint="default"/>
        <w:b/>
        <w:i w:val="0"/>
        <w:caps w:val="0"/>
        <w:strike w:val="0"/>
        <w:dstrike w:val="0"/>
        <w:vanish w:val="0"/>
        <w:color w:val="1F497D"/>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D926F1"/>
    <w:multiLevelType w:val="hybridMultilevel"/>
    <w:tmpl w:val="AA761B3C"/>
    <w:lvl w:ilvl="0" w:tplc="39E6881C">
      <w:start w:val="1"/>
      <w:numFmt w:val="bullet"/>
      <w:lvlText w:val=""/>
      <w:lvlJc w:val="left"/>
      <w:pPr>
        <w:tabs>
          <w:tab w:val="num" w:pos="720"/>
        </w:tabs>
        <w:ind w:left="720" w:hanging="360"/>
      </w:pPr>
      <w:rPr>
        <w:rFonts w:ascii="Wingdings" w:hAnsi="Wingdings" w:hint="default"/>
        <w:b w:val="0"/>
        <w:i w:val="0"/>
        <w:caps w:val="0"/>
        <w:strike w:val="0"/>
        <w:dstrike w:val="0"/>
        <w:vanish w:val="0"/>
        <w:color w:val="1F497D" w:themeColor="text2"/>
        <w:vertAlign w:val="baseline"/>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5C52ED"/>
    <w:multiLevelType w:val="hybridMultilevel"/>
    <w:tmpl w:val="3FF0556A"/>
    <w:lvl w:ilvl="0" w:tplc="04090003">
      <w:start w:val="1"/>
      <w:numFmt w:val="bullet"/>
      <w:lvlText w:val="o"/>
      <w:lvlJc w:val="left"/>
      <w:pPr>
        <w:ind w:left="720" w:hanging="360"/>
      </w:pPr>
      <w:rPr>
        <w:rFonts w:ascii="Courier New" w:hAnsi="Courier New" w:cs="Courier New" w:hint="default"/>
      </w:rPr>
    </w:lvl>
    <w:lvl w:ilvl="1" w:tplc="58C4EA78">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91053"/>
    <w:multiLevelType w:val="hybridMultilevel"/>
    <w:tmpl w:val="CEC2A87C"/>
    <w:lvl w:ilvl="0" w:tplc="04090009">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2536A"/>
    <w:multiLevelType w:val="hybridMultilevel"/>
    <w:tmpl w:val="8D64A5C0"/>
    <w:lvl w:ilvl="0" w:tplc="08AAC276">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B6501"/>
    <w:multiLevelType w:val="hybridMultilevel"/>
    <w:tmpl w:val="C1F66BC6"/>
    <w:lvl w:ilvl="0" w:tplc="69660DE0">
      <w:start w:val="1"/>
      <w:numFmt w:val="bullet"/>
      <w:lvlText w:val="P"/>
      <w:lvlJc w:val="left"/>
      <w:pPr>
        <w:ind w:left="720" w:hanging="360"/>
      </w:pPr>
      <w:rPr>
        <w:rFonts w:ascii="Wingdings 2" w:hAnsi="Wingdings 2" w:hint="default"/>
        <w:b/>
        <w:i w:val="0"/>
        <w:caps w:val="0"/>
        <w:strike w:val="0"/>
        <w:dstrike w:val="0"/>
        <w:vanish w:val="0"/>
        <w:color w:val="1F497D" w:themeColor="text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65D65"/>
    <w:multiLevelType w:val="hybridMultilevel"/>
    <w:tmpl w:val="87AE9BEA"/>
    <w:lvl w:ilvl="0" w:tplc="69660DE0">
      <w:start w:val="1"/>
      <w:numFmt w:val="bullet"/>
      <w:lvlText w:val="P"/>
      <w:lvlJc w:val="left"/>
      <w:pPr>
        <w:ind w:left="720" w:hanging="360"/>
      </w:pPr>
      <w:rPr>
        <w:rFonts w:ascii="Wingdings 2" w:hAnsi="Wingdings 2" w:hint="default"/>
        <w:b/>
        <w:i w:val="0"/>
        <w:caps w:val="0"/>
        <w:strike w:val="0"/>
        <w:dstrike w:val="0"/>
        <w:vanish w:val="0"/>
        <w:color w:val="1F497D" w:themeColor="text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3493F"/>
    <w:multiLevelType w:val="hybridMultilevel"/>
    <w:tmpl w:val="4DC4C498"/>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color w:val="1F497D"/>
        <w:vertAlign w:val="baseline"/>
      </w:rPr>
    </w:lvl>
    <w:lvl w:ilvl="1" w:tplc="BB32FF1A">
      <w:start w:val="1"/>
      <w:numFmt w:val="bullet"/>
      <w:lvlText w:val="–"/>
      <w:lvlJc w:val="left"/>
      <w:pPr>
        <w:tabs>
          <w:tab w:val="num" w:pos="2160"/>
        </w:tabs>
        <w:ind w:left="2160" w:hanging="360"/>
      </w:pPr>
      <w:rPr>
        <w:rFonts w:ascii="Arial" w:hAnsi="Arial" w:hint="default"/>
      </w:rPr>
    </w:lvl>
    <w:lvl w:ilvl="2" w:tplc="4C4EA6CC">
      <w:start w:val="1"/>
      <w:numFmt w:val="bullet"/>
      <w:lvlText w:val="–"/>
      <w:lvlJc w:val="left"/>
      <w:pPr>
        <w:tabs>
          <w:tab w:val="num" w:pos="2880"/>
        </w:tabs>
        <w:ind w:left="2880" w:hanging="360"/>
      </w:pPr>
      <w:rPr>
        <w:rFonts w:ascii="Arial" w:hAnsi="Arial" w:hint="default"/>
      </w:rPr>
    </w:lvl>
    <w:lvl w:ilvl="3" w:tplc="5832005E" w:tentative="1">
      <w:start w:val="1"/>
      <w:numFmt w:val="bullet"/>
      <w:lvlText w:val="–"/>
      <w:lvlJc w:val="left"/>
      <w:pPr>
        <w:tabs>
          <w:tab w:val="num" w:pos="3600"/>
        </w:tabs>
        <w:ind w:left="3600" w:hanging="360"/>
      </w:pPr>
      <w:rPr>
        <w:rFonts w:ascii="Arial" w:hAnsi="Arial" w:hint="default"/>
      </w:rPr>
    </w:lvl>
    <w:lvl w:ilvl="4" w:tplc="664AB614" w:tentative="1">
      <w:start w:val="1"/>
      <w:numFmt w:val="bullet"/>
      <w:lvlText w:val="–"/>
      <w:lvlJc w:val="left"/>
      <w:pPr>
        <w:tabs>
          <w:tab w:val="num" w:pos="4320"/>
        </w:tabs>
        <w:ind w:left="4320" w:hanging="360"/>
      </w:pPr>
      <w:rPr>
        <w:rFonts w:ascii="Arial" w:hAnsi="Arial" w:hint="default"/>
      </w:rPr>
    </w:lvl>
    <w:lvl w:ilvl="5" w:tplc="9BF47052" w:tentative="1">
      <w:start w:val="1"/>
      <w:numFmt w:val="bullet"/>
      <w:lvlText w:val="–"/>
      <w:lvlJc w:val="left"/>
      <w:pPr>
        <w:tabs>
          <w:tab w:val="num" w:pos="5040"/>
        </w:tabs>
        <w:ind w:left="5040" w:hanging="360"/>
      </w:pPr>
      <w:rPr>
        <w:rFonts w:ascii="Arial" w:hAnsi="Arial" w:hint="default"/>
      </w:rPr>
    </w:lvl>
    <w:lvl w:ilvl="6" w:tplc="8E12E2B6" w:tentative="1">
      <w:start w:val="1"/>
      <w:numFmt w:val="bullet"/>
      <w:lvlText w:val="–"/>
      <w:lvlJc w:val="left"/>
      <w:pPr>
        <w:tabs>
          <w:tab w:val="num" w:pos="5760"/>
        </w:tabs>
        <w:ind w:left="5760" w:hanging="360"/>
      </w:pPr>
      <w:rPr>
        <w:rFonts w:ascii="Arial" w:hAnsi="Arial" w:hint="default"/>
      </w:rPr>
    </w:lvl>
    <w:lvl w:ilvl="7" w:tplc="EB9C4F5E" w:tentative="1">
      <w:start w:val="1"/>
      <w:numFmt w:val="bullet"/>
      <w:lvlText w:val="–"/>
      <w:lvlJc w:val="left"/>
      <w:pPr>
        <w:tabs>
          <w:tab w:val="num" w:pos="6480"/>
        </w:tabs>
        <w:ind w:left="6480" w:hanging="360"/>
      </w:pPr>
      <w:rPr>
        <w:rFonts w:ascii="Arial" w:hAnsi="Arial" w:hint="default"/>
      </w:rPr>
    </w:lvl>
    <w:lvl w:ilvl="8" w:tplc="3FF63ED2"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6CE54B1C"/>
    <w:multiLevelType w:val="hybridMultilevel"/>
    <w:tmpl w:val="0F3CE2A2"/>
    <w:lvl w:ilvl="0" w:tplc="291C5B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A3D68"/>
    <w:multiLevelType w:val="hybridMultilevel"/>
    <w:tmpl w:val="F97A4FAA"/>
    <w:lvl w:ilvl="0" w:tplc="EE2A4BCC">
      <w:start w:val="1"/>
      <w:numFmt w:val="bullet"/>
      <w:lvlText w:val="P"/>
      <w:lvlJc w:val="left"/>
      <w:pPr>
        <w:tabs>
          <w:tab w:val="num" w:pos="720"/>
        </w:tabs>
        <w:ind w:left="720" w:hanging="360"/>
      </w:pPr>
      <w:rPr>
        <w:rFonts w:ascii="Wingdings 2" w:hAnsi="Wingdings 2" w:hint="default"/>
      </w:rPr>
    </w:lvl>
    <w:lvl w:ilvl="1" w:tplc="BB32FF1A">
      <w:start w:val="1"/>
      <w:numFmt w:val="bullet"/>
      <w:lvlText w:val="–"/>
      <w:lvlJc w:val="left"/>
      <w:pPr>
        <w:tabs>
          <w:tab w:val="num" w:pos="1440"/>
        </w:tabs>
        <w:ind w:left="1440" w:hanging="360"/>
      </w:pPr>
      <w:rPr>
        <w:rFonts w:ascii="Arial" w:hAnsi="Arial" w:hint="default"/>
      </w:rPr>
    </w:lvl>
    <w:lvl w:ilvl="2" w:tplc="4C4EA6CC" w:tentative="1">
      <w:start w:val="1"/>
      <w:numFmt w:val="bullet"/>
      <w:lvlText w:val="–"/>
      <w:lvlJc w:val="left"/>
      <w:pPr>
        <w:tabs>
          <w:tab w:val="num" w:pos="2160"/>
        </w:tabs>
        <w:ind w:left="2160" w:hanging="360"/>
      </w:pPr>
      <w:rPr>
        <w:rFonts w:ascii="Arial" w:hAnsi="Arial" w:hint="default"/>
      </w:rPr>
    </w:lvl>
    <w:lvl w:ilvl="3" w:tplc="5832005E" w:tentative="1">
      <w:start w:val="1"/>
      <w:numFmt w:val="bullet"/>
      <w:lvlText w:val="–"/>
      <w:lvlJc w:val="left"/>
      <w:pPr>
        <w:tabs>
          <w:tab w:val="num" w:pos="2880"/>
        </w:tabs>
        <w:ind w:left="2880" w:hanging="360"/>
      </w:pPr>
      <w:rPr>
        <w:rFonts w:ascii="Arial" w:hAnsi="Arial" w:hint="default"/>
      </w:rPr>
    </w:lvl>
    <w:lvl w:ilvl="4" w:tplc="664AB614" w:tentative="1">
      <w:start w:val="1"/>
      <w:numFmt w:val="bullet"/>
      <w:lvlText w:val="–"/>
      <w:lvlJc w:val="left"/>
      <w:pPr>
        <w:tabs>
          <w:tab w:val="num" w:pos="3600"/>
        </w:tabs>
        <w:ind w:left="3600" w:hanging="360"/>
      </w:pPr>
      <w:rPr>
        <w:rFonts w:ascii="Arial" w:hAnsi="Arial" w:hint="default"/>
      </w:rPr>
    </w:lvl>
    <w:lvl w:ilvl="5" w:tplc="9BF47052" w:tentative="1">
      <w:start w:val="1"/>
      <w:numFmt w:val="bullet"/>
      <w:lvlText w:val="–"/>
      <w:lvlJc w:val="left"/>
      <w:pPr>
        <w:tabs>
          <w:tab w:val="num" w:pos="4320"/>
        </w:tabs>
        <w:ind w:left="4320" w:hanging="360"/>
      </w:pPr>
      <w:rPr>
        <w:rFonts w:ascii="Arial" w:hAnsi="Arial" w:hint="default"/>
      </w:rPr>
    </w:lvl>
    <w:lvl w:ilvl="6" w:tplc="8E12E2B6" w:tentative="1">
      <w:start w:val="1"/>
      <w:numFmt w:val="bullet"/>
      <w:lvlText w:val="–"/>
      <w:lvlJc w:val="left"/>
      <w:pPr>
        <w:tabs>
          <w:tab w:val="num" w:pos="5040"/>
        </w:tabs>
        <w:ind w:left="5040" w:hanging="360"/>
      </w:pPr>
      <w:rPr>
        <w:rFonts w:ascii="Arial" w:hAnsi="Arial" w:hint="default"/>
      </w:rPr>
    </w:lvl>
    <w:lvl w:ilvl="7" w:tplc="EB9C4F5E" w:tentative="1">
      <w:start w:val="1"/>
      <w:numFmt w:val="bullet"/>
      <w:lvlText w:val="–"/>
      <w:lvlJc w:val="left"/>
      <w:pPr>
        <w:tabs>
          <w:tab w:val="num" w:pos="5760"/>
        </w:tabs>
        <w:ind w:left="5760" w:hanging="360"/>
      </w:pPr>
      <w:rPr>
        <w:rFonts w:ascii="Arial" w:hAnsi="Arial" w:hint="default"/>
      </w:rPr>
    </w:lvl>
    <w:lvl w:ilvl="8" w:tplc="3FF63ED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5"/>
  </w:num>
  <w:num w:numId="4">
    <w:abstractNumId w:val="15"/>
  </w:num>
  <w:num w:numId="5">
    <w:abstractNumId w:val="1"/>
  </w:num>
  <w:num w:numId="6">
    <w:abstractNumId w:val="2"/>
  </w:num>
  <w:num w:numId="7">
    <w:abstractNumId w:val="10"/>
  </w:num>
  <w:num w:numId="8">
    <w:abstractNumId w:val="13"/>
  </w:num>
  <w:num w:numId="9">
    <w:abstractNumId w:val="0"/>
  </w:num>
  <w:num w:numId="10">
    <w:abstractNumId w:val="9"/>
  </w:num>
  <w:num w:numId="11">
    <w:abstractNumId w:val="7"/>
  </w:num>
  <w:num w:numId="12">
    <w:abstractNumId w:val="12"/>
  </w:num>
  <w:num w:numId="13">
    <w:abstractNumId w:val="4"/>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80"/>
    <w:rsid w:val="00031800"/>
    <w:rsid w:val="00033DA5"/>
    <w:rsid w:val="00034895"/>
    <w:rsid w:val="00040E32"/>
    <w:rsid w:val="000602E9"/>
    <w:rsid w:val="00064750"/>
    <w:rsid w:val="00095A59"/>
    <w:rsid w:val="000B59A2"/>
    <w:rsid w:val="000B6271"/>
    <w:rsid w:val="000C06A8"/>
    <w:rsid w:val="000D0995"/>
    <w:rsid w:val="000F0EBD"/>
    <w:rsid w:val="000F64EB"/>
    <w:rsid w:val="000F775C"/>
    <w:rsid w:val="00101A0C"/>
    <w:rsid w:val="001079DC"/>
    <w:rsid w:val="0013424D"/>
    <w:rsid w:val="001472E2"/>
    <w:rsid w:val="001541F8"/>
    <w:rsid w:val="001557CB"/>
    <w:rsid w:val="00163C3B"/>
    <w:rsid w:val="0017043B"/>
    <w:rsid w:val="00172101"/>
    <w:rsid w:val="001729DF"/>
    <w:rsid w:val="00181CD4"/>
    <w:rsid w:val="00185BF0"/>
    <w:rsid w:val="00195307"/>
    <w:rsid w:val="001A4556"/>
    <w:rsid w:val="001A6BC8"/>
    <w:rsid w:val="001B46AF"/>
    <w:rsid w:val="001C0DF0"/>
    <w:rsid w:val="001C2CD5"/>
    <w:rsid w:val="001D2D86"/>
    <w:rsid w:val="001D5BB3"/>
    <w:rsid w:val="001E0C47"/>
    <w:rsid w:val="001E44E9"/>
    <w:rsid w:val="001E48BE"/>
    <w:rsid w:val="001F564B"/>
    <w:rsid w:val="002107C6"/>
    <w:rsid w:val="002149D2"/>
    <w:rsid w:val="00222CC1"/>
    <w:rsid w:val="00226E49"/>
    <w:rsid w:val="002402B0"/>
    <w:rsid w:val="00244846"/>
    <w:rsid w:val="00263891"/>
    <w:rsid w:val="00297578"/>
    <w:rsid w:val="002A3B58"/>
    <w:rsid w:val="002A6DD1"/>
    <w:rsid w:val="002B06D1"/>
    <w:rsid w:val="002C5B75"/>
    <w:rsid w:val="002D013D"/>
    <w:rsid w:val="002D6AE4"/>
    <w:rsid w:val="002E3C6A"/>
    <w:rsid w:val="002F2F04"/>
    <w:rsid w:val="002F4889"/>
    <w:rsid w:val="002F4A31"/>
    <w:rsid w:val="00307F93"/>
    <w:rsid w:val="003339A4"/>
    <w:rsid w:val="003339D2"/>
    <w:rsid w:val="00342959"/>
    <w:rsid w:val="003462C8"/>
    <w:rsid w:val="0037080F"/>
    <w:rsid w:val="00375D59"/>
    <w:rsid w:val="003A6F38"/>
    <w:rsid w:val="003C02DB"/>
    <w:rsid w:val="003C40A4"/>
    <w:rsid w:val="003C4E0F"/>
    <w:rsid w:val="003C713D"/>
    <w:rsid w:val="003D1F84"/>
    <w:rsid w:val="003D75FD"/>
    <w:rsid w:val="003F2B1A"/>
    <w:rsid w:val="003F371E"/>
    <w:rsid w:val="003F4D26"/>
    <w:rsid w:val="003F604B"/>
    <w:rsid w:val="00401E64"/>
    <w:rsid w:val="00402D38"/>
    <w:rsid w:val="00407C04"/>
    <w:rsid w:val="004161A3"/>
    <w:rsid w:val="00426C07"/>
    <w:rsid w:val="00434066"/>
    <w:rsid w:val="00442A6A"/>
    <w:rsid w:val="00471638"/>
    <w:rsid w:val="00484979"/>
    <w:rsid w:val="00497A9D"/>
    <w:rsid w:val="004B6B8C"/>
    <w:rsid w:val="004B6BEF"/>
    <w:rsid w:val="004C220B"/>
    <w:rsid w:val="004C3E07"/>
    <w:rsid w:val="004C5446"/>
    <w:rsid w:val="004D4003"/>
    <w:rsid w:val="004E1E4E"/>
    <w:rsid w:val="004F11DC"/>
    <w:rsid w:val="004F1333"/>
    <w:rsid w:val="00523A73"/>
    <w:rsid w:val="00523D6E"/>
    <w:rsid w:val="00532924"/>
    <w:rsid w:val="00532A3D"/>
    <w:rsid w:val="005420C2"/>
    <w:rsid w:val="0054257C"/>
    <w:rsid w:val="005471BC"/>
    <w:rsid w:val="00554FAE"/>
    <w:rsid w:val="0056059C"/>
    <w:rsid w:val="00566138"/>
    <w:rsid w:val="0059150A"/>
    <w:rsid w:val="005975D8"/>
    <w:rsid w:val="005A356A"/>
    <w:rsid w:val="005A75E2"/>
    <w:rsid w:val="005B2F76"/>
    <w:rsid w:val="005D29B3"/>
    <w:rsid w:val="005D73C2"/>
    <w:rsid w:val="006044EB"/>
    <w:rsid w:val="00616406"/>
    <w:rsid w:val="00623135"/>
    <w:rsid w:val="00626394"/>
    <w:rsid w:val="006266BA"/>
    <w:rsid w:val="0063537E"/>
    <w:rsid w:val="006414C2"/>
    <w:rsid w:val="00653C21"/>
    <w:rsid w:val="00655775"/>
    <w:rsid w:val="00664A8D"/>
    <w:rsid w:val="006751D8"/>
    <w:rsid w:val="00676A53"/>
    <w:rsid w:val="006A6220"/>
    <w:rsid w:val="006C2341"/>
    <w:rsid w:val="006C4309"/>
    <w:rsid w:val="006D63EE"/>
    <w:rsid w:val="006E43A1"/>
    <w:rsid w:val="006E5948"/>
    <w:rsid w:val="006F0B86"/>
    <w:rsid w:val="006F3F65"/>
    <w:rsid w:val="006F44F3"/>
    <w:rsid w:val="006F6E9A"/>
    <w:rsid w:val="00701D9A"/>
    <w:rsid w:val="0071327A"/>
    <w:rsid w:val="00713B9C"/>
    <w:rsid w:val="00720863"/>
    <w:rsid w:val="00735382"/>
    <w:rsid w:val="00741474"/>
    <w:rsid w:val="00746D46"/>
    <w:rsid w:val="00753120"/>
    <w:rsid w:val="007555E8"/>
    <w:rsid w:val="00756C7B"/>
    <w:rsid w:val="00792CE8"/>
    <w:rsid w:val="007A4F43"/>
    <w:rsid w:val="007B3F8F"/>
    <w:rsid w:val="007B436E"/>
    <w:rsid w:val="007C184F"/>
    <w:rsid w:val="007D6EB5"/>
    <w:rsid w:val="007E1FB6"/>
    <w:rsid w:val="007E48D5"/>
    <w:rsid w:val="007F1953"/>
    <w:rsid w:val="007F2ACD"/>
    <w:rsid w:val="00842680"/>
    <w:rsid w:val="00842C4F"/>
    <w:rsid w:val="00860957"/>
    <w:rsid w:val="00860F3F"/>
    <w:rsid w:val="008679E1"/>
    <w:rsid w:val="0087521A"/>
    <w:rsid w:val="00882699"/>
    <w:rsid w:val="008D2E71"/>
    <w:rsid w:val="008E070A"/>
    <w:rsid w:val="008F0268"/>
    <w:rsid w:val="008F53F6"/>
    <w:rsid w:val="00902D87"/>
    <w:rsid w:val="00917E51"/>
    <w:rsid w:val="00920174"/>
    <w:rsid w:val="00922EF2"/>
    <w:rsid w:val="00933AA0"/>
    <w:rsid w:val="009453BB"/>
    <w:rsid w:val="0095046B"/>
    <w:rsid w:val="00971F6A"/>
    <w:rsid w:val="0097240E"/>
    <w:rsid w:val="00985987"/>
    <w:rsid w:val="009A4000"/>
    <w:rsid w:val="009A5409"/>
    <w:rsid w:val="009B13CC"/>
    <w:rsid w:val="009B1AE8"/>
    <w:rsid w:val="009B1D9D"/>
    <w:rsid w:val="009B3D25"/>
    <w:rsid w:val="009D28CE"/>
    <w:rsid w:val="00A103D1"/>
    <w:rsid w:val="00A20F11"/>
    <w:rsid w:val="00A3019F"/>
    <w:rsid w:val="00A3198C"/>
    <w:rsid w:val="00A340A8"/>
    <w:rsid w:val="00A774F4"/>
    <w:rsid w:val="00A955D0"/>
    <w:rsid w:val="00A96E02"/>
    <w:rsid w:val="00AA153F"/>
    <w:rsid w:val="00AA7D04"/>
    <w:rsid w:val="00AB0091"/>
    <w:rsid w:val="00AB4D9D"/>
    <w:rsid w:val="00AD3DA9"/>
    <w:rsid w:val="00AD4C7B"/>
    <w:rsid w:val="00B002FD"/>
    <w:rsid w:val="00B22A54"/>
    <w:rsid w:val="00B26F20"/>
    <w:rsid w:val="00B30B11"/>
    <w:rsid w:val="00B31A50"/>
    <w:rsid w:val="00B34CF0"/>
    <w:rsid w:val="00B40A7A"/>
    <w:rsid w:val="00B5625F"/>
    <w:rsid w:val="00B64880"/>
    <w:rsid w:val="00B657CC"/>
    <w:rsid w:val="00B709D8"/>
    <w:rsid w:val="00B70D56"/>
    <w:rsid w:val="00B748F7"/>
    <w:rsid w:val="00B77988"/>
    <w:rsid w:val="00B93CDE"/>
    <w:rsid w:val="00B96455"/>
    <w:rsid w:val="00BA2D18"/>
    <w:rsid w:val="00BA5A45"/>
    <w:rsid w:val="00BE2C8B"/>
    <w:rsid w:val="00BE2DF1"/>
    <w:rsid w:val="00BE4ACB"/>
    <w:rsid w:val="00BF754D"/>
    <w:rsid w:val="00C01051"/>
    <w:rsid w:val="00C01D1D"/>
    <w:rsid w:val="00C3454A"/>
    <w:rsid w:val="00C40F50"/>
    <w:rsid w:val="00C41854"/>
    <w:rsid w:val="00C4606C"/>
    <w:rsid w:val="00C510F0"/>
    <w:rsid w:val="00C64F6D"/>
    <w:rsid w:val="00C66439"/>
    <w:rsid w:val="00C740C5"/>
    <w:rsid w:val="00C86425"/>
    <w:rsid w:val="00C8724D"/>
    <w:rsid w:val="00C87A8A"/>
    <w:rsid w:val="00C904E2"/>
    <w:rsid w:val="00C93AA0"/>
    <w:rsid w:val="00C93EEA"/>
    <w:rsid w:val="00C96178"/>
    <w:rsid w:val="00C97D67"/>
    <w:rsid w:val="00CA254E"/>
    <w:rsid w:val="00CA5794"/>
    <w:rsid w:val="00CC7A58"/>
    <w:rsid w:val="00CE09AB"/>
    <w:rsid w:val="00CF33C6"/>
    <w:rsid w:val="00CF4716"/>
    <w:rsid w:val="00CF75ED"/>
    <w:rsid w:val="00D01418"/>
    <w:rsid w:val="00D01B96"/>
    <w:rsid w:val="00D02D1D"/>
    <w:rsid w:val="00D06BE5"/>
    <w:rsid w:val="00D26F33"/>
    <w:rsid w:val="00D27B7C"/>
    <w:rsid w:val="00D328DD"/>
    <w:rsid w:val="00D367EA"/>
    <w:rsid w:val="00D417AA"/>
    <w:rsid w:val="00D41D78"/>
    <w:rsid w:val="00D56981"/>
    <w:rsid w:val="00D746A9"/>
    <w:rsid w:val="00DA1885"/>
    <w:rsid w:val="00DA1CB8"/>
    <w:rsid w:val="00DB5922"/>
    <w:rsid w:val="00DC5F3C"/>
    <w:rsid w:val="00DC7838"/>
    <w:rsid w:val="00DD6FAE"/>
    <w:rsid w:val="00DE0484"/>
    <w:rsid w:val="00DE22E3"/>
    <w:rsid w:val="00DF7E02"/>
    <w:rsid w:val="00E04F6F"/>
    <w:rsid w:val="00E07AC4"/>
    <w:rsid w:val="00E31EB4"/>
    <w:rsid w:val="00E46B09"/>
    <w:rsid w:val="00E50EE1"/>
    <w:rsid w:val="00E51BA4"/>
    <w:rsid w:val="00E66676"/>
    <w:rsid w:val="00E80AF8"/>
    <w:rsid w:val="00E85C4D"/>
    <w:rsid w:val="00E874F7"/>
    <w:rsid w:val="00E903DB"/>
    <w:rsid w:val="00E9372F"/>
    <w:rsid w:val="00E95CE5"/>
    <w:rsid w:val="00EB5FB6"/>
    <w:rsid w:val="00EC3E14"/>
    <w:rsid w:val="00EC64DD"/>
    <w:rsid w:val="00ED0BBC"/>
    <w:rsid w:val="00F01D3D"/>
    <w:rsid w:val="00F05364"/>
    <w:rsid w:val="00F1546A"/>
    <w:rsid w:val="00F204A2"/>
    <w:rsid w:val="00F22C9E"/>
    <w:rsid w:val="00F42E94"/>
    <w:rsid w:val="00F44006"/>
    <w:rsid w:val="00F5601A"/>
    <w:rsid w:val="00F6263C"/>
    <w:rsid w:val="00F65476"/>
    <w:rsid w:val="00F75701"/>
    <w:rsid w:val="00F81EC1"/>
    <w:rsid w:val="00F8656A"/>
    <w:rsid w:val="00F94833"/>
    <w:rsid w:val="00FA0F66"/>
    <w:rsid w:val="00FA262A"/>
    <w:rsid w:val="00FB14A9"/>
    <w:rsid w:val="00FB5009"/>
    <w:rsid w:val="00FC17B6"/>
    <w:rsid w:val="00FD227C"/>
    <w:rsid w:val="00FD7DCD"/>
    <w:rsid w:val="00FE3E48"/>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7003E"/>
  <w15:docId w15:val="{40CC8939-45BB-4C71-B654-D7B1B46E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80"/>
    <w:pPr>
      <w:spacing w:after="0" w:line="240" w:lineRule="auto"/>
    </w:pPr>
  </w:style>
  <w:style w:type="paragraph" w:styleId="Heading1">
    <w:name w:val="heading 1"/>
    <w:basedOn w:val="Normal"/>
    <w:next w:val="Normal"/>
    <w:link w:val="Heading1Char"/>
    <w:uiPriority w:val="9"/>
    <w:qFormat/>
    <w:rsid w:val="00F01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C5B75"/>
    <w:pPr>
      <w:keepNext/>
      <w:keepLines/>
      <w:spacing w:before="240"/>
      <w:outlineLvl w:val="1"/>
    </w:pPr>
    <w:rPr>
      <w:rFonts w:asciiTheme="majorHAnsi" w:eastAsiaTheme="majorEastAsia" w:hAnsiTheme="majorHAnsi" w:cstheme="majorBidi"/>
      <w:b/>
      <w:bCs/>
      <w:i/>
      <w:sz w:val="28"/>
      <w:szCs w:val="28"/>
    </w:rPr>
  </w:style>
  <w:style w:type="paragraph" w:styleId="Heading3">
    <w:name w:val="heading 3"/>
    <w:basedOn w:val="Normal"/>
    <w:next w:val="Normal"/>
    <w:link w:val="Heading3Char"/>
    <w:uiPriority w:val="9"/>
    <w:unhideWhenUsed/>
    <w:qFormat/>
    <w:rsid w:val="002C5B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80"/>
    <w:pPr>
      <w:ind w:left="720"/>
      <w:contextualSpacing/>
    </w:pPr>
  </w:style>
  <w:style w:type="character" w:styleId="Hyperlink">
    <w:name w:val="Hyperlink"/>
    <w:basedOn w:val="DefaultParagraphFont"/>
    <w:uiPriority w:val="99"/>
    <w:unhideWhenUsed/>
    <w:rsid w:val="00B64880"/>
    <w:rPr>
      <w:color w:val="0000FF" w:themeColor="hyperlink"/>
      <w:u w:val="single"/>
    </w:rPr>
  </w:style>
  <w:style w:type="character" w:styleId="CommentReference">
    <w:name w:val="annotation reference"/>
    <w:basedOn w:val="DefaultParagraphFont"/>
    <w:uiPriority w:val="99"/>
    <w:semiHidden/>
    <w:unhideWhenUsed/>
    <w:rsid w:val="00B64880"/>
    <w:rPr>
      <w:sz w:val="16"/>
      <w:szCs w:val="16"/>
    </w:rPr>
  </w:style>
  <w:style w:type="paragraph" w:styleId="CommentText">
    <w:name w:val="annotation text"/>
    <w:basedOn w:val="Normal"/>
    <w:link w:val="CommentTextChar"/>
    <w:uiPriority w:val="99"/>
    <w:unhideWhenUsed/>
    <w:rsid w:val="00B64880"/>
    <w:rPr>
      <w:sz w:val="20"/>
      <w:szCs w:val="20"/>
    </w:rPr>
  </w:style>
  <w:style w:type="character" w:customStyle="1" w:styleId="CommentTextChar">
    <w:name w:val="Comment Text Char"/>
    <w:basedOn w:val="DefaultParagraphFont"/>
    <w:link w:val="CommentText"/>
    <w:uiPriority w:val="99"/>
    <w:rsid w:val="00B64880"/>
    <w:rPr>
      <w:sz w:val="20"/>
      <w:szCs w:val="20"/>
    </w:rPr>
  </w:style>
  <w:style w:type="paragraph" w:styleId="BalloonText">
    <w:name w:val="Balloon Text"/>
    <w:basedOn w:val="Normal"/>
    <w:link w:val="BalloonTextChar"/>
    <w:uiPriority w:val="99"/>
    <w:semiHidden/>
    <w:unhideWhenUsed/>
    <w:rsid w:val="00B64880"/>
    <w:rPr>
      <w:rFonts w:ascii="Tahoma" w:hAnsi="Tahoma" w:cs="Tahoma"/>
      <w:sz w:val="16"/>
      <w:szCs w:val="16"/>
    </w:rPr>
  </w:style>
  <w:style w:type="character" w:customStyle="1" w:styleId="BalloonTextChar">
    <w:name w:val="Balloon Text Char"/>
    <w:basedOn w:val="DefaultParagraphFont"/>
    <w:link w:val="BalloonText"/>
    <w:uiPriority w:val="99"/>
    <w:semiHidden/>
    <w:rsid w:val="00B64880"/>
    <w:rPr>
      <w:rFonts w:ascii="Tahoma" w:hAnsi="Tahoma" w:cs="Tahoma"/>
      <w:sz w:val="16"/>
      <w:szCs w:val="16"/>
    </w:rPr>
  </w:style>
  <w:style w:type="character" w:customStyle="1" w:styleId="Heading2Char">
    <w:name w:val="Heading 2 Char"/>
    <w:basedOn w:val="DefaultParagraphFont"/>
    <w:link w:val="Heading2"/>
    <w:rsid w:val="002C5B75"/>
    <w:rPr>
      <w:rFonts w:asciiTheme="majorHAnsi" w:eastAsiaTheme="majorEastAsia" w:hAnsiTheme="majorHAnsi" w:cstheme="majorBidi"/>
      <w:b/>
      <w:bCs/>
      <w:i/>
      <w:sz w:val="28"/>
      <w:szCs w:val="28"/>
    </w:rPr>
  </w:style>
  <w:style w:type="character" w:customStyle="1" w:styleId="Heading1Char">
    <w:name w:val="Heading 1 Char"/>
    <w:basedOn w:val="DefaultParagraphFont"/>
    <w:link w:val="Heading1"/>
    <w:uiPriority w:val="9"/>
    <w:rsid w:val="00F01D3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01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1D3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4A8D"/>
    <w:pPr>
      <w:tabs>
        <w:tab w:val="center" w:pos="4680"/>
        <w:tab w:val="right" w:pos="9360"/>
      </w:tabs>
    </w:pPr>
  </w:style>
  <w:style w:type="character" w:customStyle="1" w:styleId="HeaderChar">
    <w:name w:val="Header Char"/>
    <w:basedOn w:val="DefaultParagraphFont"/>
    <w:link w:val="Header"/>
    <w:uiPriority w:val="99"/>
    <w:rsid w:val="00664A8D"/>
  </w:style>
  <w:style w:type="paragraph" w:styleId="Footer">
    <w:name w:val="footer"/>
    <w:basedOn w:val="Normal"/>
    <w:link w:val="FooterChar"/>
    <w:uiPriority w:val="99"/>
    <w:unhideWhenUsed/>
    <w:rsid w:val="00664A8D"/>
    <w:pPr>
      <w:tabs>
        <w:tab w:val="center" w:pos="4680"/>
        <w:tab w:val="right" w:pos="9360"/>
      </w:tabs>
    </w:pPr>
  </w:style>
  <w:style w:type="character" w:customStyle="1" w:styleId="FooterChar">
    <w:name w:val="Footer Char"/>
    <w:basedOn w:val="DefaultParagraphFont"/>
    <w:link w:val="Footer"/>
    <w:uiPriority w:val="99"/>
    <w:rsid w:val="00664A8D"/>
  </w:style>
  <w:style w:type="table" w:styleId="TableGrid">
    <w:name w:val="Table Grid"/>
    <w:basedOn w:val="TableNormal"/>
    <w:uiPriority w:val="59"/>
    <w:rsid w:val="0066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64A8D"/>
    <w:rPr>
      <w:b/>
      <w:bCs/>
      <w:smallCaps/>
      <w:spacing w:val="5"/>
    </w:rPr>
  </w:style>
  <w:style w:type="paragraph" w:styleId="CommentSubject">
    <w:name w:val="annotation subject"/>
    <w:basedOn w:val="CommentText"/>
    <w:next w:val="CommentText"/>
    <w:link w:val="CommentSubjectChar"/>
    <w:uiPriority w:val="99"/>
    <w:semiHidden/>
    <w:unhideWhenUsed/>
    <w:rsid w:val="00664A8D"/>
    <w:rPr>
      <w:b/>
      <w:bCs/>
    </w:rPr>
  </w:style>
  <w:style w:type="character" w:customStyle="1" w:styleId="CommentSubjectChar">
    <w:name w:val="Comment Subject Char"/>
    <w:basedOn w:val="CommentTextChar"/>
    <w:link w:val="CommentSubject"/>
    <w:uiPriority w:val="99"/>
    <w:semiHidden/>
    <w:rsid w:val="00664A8D"/>
    <w:rPr>
      <w:b/>
      <w:bCs/>
      <w:sz w:val="20"/>
      <w:szCs w:val="20"/>
    </w:rPr>
  </w:style>
  <w:style w:type="paragraph" w:styleId="NoSpacing">
    <w:name w:val="No Spacing"/>
    <w:uiPriority w:val="1"/>
    <w:qFormat/>
    <w:rsid w:val="00CF33C6"/>
    <w:pPr>
      <w:spacing w:after="0" w:line="240" w:lineRule="auto"/>
    </w:pPr>
  </w:style>
  <w:style w:type="character" w:customStyle="1" w:styleId="Heading3Char">
    <w:name w:val="Heading 3 Char"/>
    <w:basedOn w:val="DefaultParagraphFont"/>
    <w:link w:val="Heading3"/>
    <w:uiPriority w:val="9"/>
    <w:rsid w:val="002C5B75"/>
    <w:rPr>
      <w:rFonts w:asciiTheme="majorHAnsi" w:eastAsiaTheme="majorEastAsia" w:hAnsiTheme="majorHAnsi" w:cstheme="majorBidi"/>
      <w:b/>
      <w:bCs/>
      <w:color w:val="4F81BD" w:themeColor="accent1"/>
    </w:rPr>
  </w:style>
  <w:style w:type="paragraph" w:styleId="Revision">
    <w:name w:val="Revision"/>
    <w:hidden/>
    <w:uiPriority w:val="99"/>
    <w:semiHidden/>
    <w:rsid w:val="001E0C47"/>
    <w:pPr>
      <w:spacing w:after="0" w:line="240" w:lineRule="auto"/>
    </w:pPr>
  </w:style>
  <w:style w:type="character" w:styleId="FollowedHyperlink">
    <w:name w:val="FollowedHyperlink"/>
    <w:basedOn w:val="DefaultParagraphFont"/>
    <w:uiPriority w:val="99"/>
    <w:semiHidden/>
    <w:unhideWhenUsed/>
    <w:rsid w:val="004B6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fccc.int/national_reports/non-annex_i_natcom/training_material/methodological_documents/items/349.php" TargetMode="External"/><Relationship Id="rId18" Type="http://schemas.openxmlformats.org/officeDocument/2006/relationships/hyperlink" Target="http://www.ipcc-nggip.iges.or.jp/public/2006gl/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ledsgp.org/resource/greenhouse-gas-inventory-system/?loclang=en_gb" TargetMode="External"/><Relationship Id="rId17" Type="http://schemas.openxmlformats.org/officeDocument/2006/relationships/hyperlink" Target="https://www.ipcc-nggip.iges.or.jp/software/index.html" TargetMode="External"/><Relationship Id="rId2" Type="http://schemas.openxmlformats.org/officeDocument/2006/relationships/customXml" Target="../customXml/item2.xml"/><Relationship Id="rId16" Type="http://schemas.openxmlformats.org/officeDocument/2006/relationships/hyperlink" Target="http://ledsgp.org/resource/greenhouse-gas-inventory-system/?loclang=en_g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nfccc.int/national_reports/non-annex_i_natcom/guidelines_and_user_manual/items/2607.ph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pcc-nggip.iges.or.jp/public/2006gl/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2020-02-14T11:50:15+00:00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2808B08721D542829F50FE862A119C" ma:contentTypeVersion="11" ma:contentTypeDescription="Create a new document." ma:contentTypeScope="" ma:versionID="d52304510308a0923f885f52ce6bf8d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123af-147b-409f-8d37-671fe761ca1d" xmlns:ns6="7d8dd676-26ca-4e08-b90f-b4e0026a58ac" targetNamespace="http://schemas.microsoft.com/office/2006/metadata/properties" ma:root="true" ma:fieldsID="edd4de3de533270dfd1308e817bd9357" ns1:_="" ns2:_="" ns3:_="" ns4:_="" ns5:_="" ns6:_="">
    <xsd:import namespace="http://schemas.microsoft.com/sharepoint/v3"/>
    <xsd:import namespace="4ffa91fb-a0ff-4ac5-b2db-65c790d184a4"/>
    <xsd:import namespace="http://schemas.microsoft.com/sharepoint.v3"/>
    <xsd:import namespace="http://schemas.microsoft.com/sharepoint/v3/fields"/>
    <xsd:import namespace="848123af-147b-409f-8d37-671fe761ca1d"/>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123af-147b-409f-8d37-671fe761ca1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5C73-B9F4-4CDB-BF69-8DE8AC72AB00}">
  <ds:schemaRefs>
    <ds:schemaRef ds:uri="Microsoft.SharePoint.Taxonomy.ContentTypeSync"/>
  </ds:schemaRefs>
</ds:datastoreItem>
</file>

<file path=customXml/itemProps2.xml><?xml version="1.0" encoding="utf-8"?>
<ds:datastoreItem xmlns:ds="http://schemas.openxmlformats.org/officeDocument/2006/customXml" ds:itemID="{28230A9C-2435-49AC-97F2-4F672B23B2B2}">
  <ds:schemaRefs>
    <ds:schemaRef ds:uri="http://schemas.microsoft.com/office/2006/metadata/properties"/>
    <ds:schemaRef ds:uri="http://schemas.microsoft.com/sharepoint/v3/fields"/>
    <ds:schemaRef ds:uri="http://schemas.microsoft.com/sharepoint/v3"/>
    <ds:schemaRef ds:uri="4ffa91fb-a0ff-4ac5-b2db-65c790d184a4"/>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CC3283-AF0F-4A9F-8B7C-EFB287F7D290}">
  <ds:schemaRefs>
    <ds:schemaRef ds:uri="http://schemas.microsoft.com/sharepoint/v3/contenttype/forms"/>
  </ds:schemaRefs>
</ds:datastoreItem>
</file>

<file path=customXml/itemProps4.xml><?xml version="1.0" encoding="utf-8"?>
<ds:datastoreItem xmlns:ds="http://schemas.openxmlformats.org/officeDocument/2006/customXml" ds:itemID="{FF10ECD0-4B36-46BB-B595-C5F0FBE73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123af-147b-409f-8d37-671fe761ca1d"/>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2CEFA-B029-4342-AA5B-FB1294FF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Chiu, Amanda</cp:lastModifiedBy>
  <cp:revision>7</cp:revision>
  <cp:lastPrinted>2014-01-21T21:04:00Z</cp:lastPrinted>
  <dcterms:created xsi:type="dcterms:W3CDTF">2018-07-16T18:22:00Z</dcterms:created>
  <dcterms:modified xsi:type="dcterms:W3CDTF">2020-11-24T14:52:00Z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0x010100B02808B08721D542829F50FE862A119C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